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EF9" w:rsidRPr="005D2C3D" w:rsidRDefault="00A00EF9" w:rsidP="005D2C3D">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bookmarkStart w:id="0" w:name="l0"/>
      <w:bookmarkEnd w:id="0"/>
      <w:r w:rsidRPr="005D2C3D">
        <w:rPr>
          <w:rFonts w:ascii="Times New Roman" w:eastAsia="Times New Roman" w:hAnsi="Times New Roman" w:cs="Times New Roman"/>
          <w:b/>
          <w:bCs/>
          <w:sz w:val="28"/>
          <w:szCs w:val="28"/>
          <w:lang w:eastAsia="ru-RU"/>
        </w:rPr>
        <w:t>МИНИСТЕРСТВО ТРУДА И СОЦИАЛЬНОЙ ЗАЩИТЫ РОССИЙСКОЙ ФЕДЕРАЦИИ</w:t>
      </w:r>
    </w:p>
    <w:p w:rsidR="00A00EF9" w:rsidRPr="005D2C3D" w:rsidRDefault="00A00EF9" w:rsidP="005D2C3D">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bookmarkStart w:id="1" w:name="h143"/>
      <w:bookmarkEnd w:id="1"/>
      <w:r w:rsidRPr="005D2C3D">
        <w:rPr>
          <w:rFonts w:ascii="Times New Roman" w:eastAsia="Times New Roman" w:hAnsi="Times New Roman" w:cs="Times New Roman"/>
          <w:b/>
          <w:bCs/>
          <w:sz w:val="28"/>
          <w:szCs w:val="28"/>
          <w:lang w:eastAsia="ru-RU"/>
        </w:rPr>
        <w:t>ПИСЬМО</w:t>
      </w:r>
      <w:r w:rsidRPr="005D2C3D">
        <w:rPr>
          <w:rFonts w:ascii="Times New Roman" w:eastAsia="Times New Roman" w:hAnsi="Times New Roman" w:cs="Times New Roman"/>
          <w:b/>
          <w:bCs/>
          <w:sz w:val="28"/>
          <w:szCs w:val="28"/>
          <w:lang w:eastAsia="ru-RU"/>
        </w:rPr>
        <w:br/>
        <w:t>от 25 декабря 2014 г. N 18-0/10/В-8980</w:t>
      </w:r>
    </w:p>
    <w:p w:rsidR="00A00EF9" w:rsidRPr="005D2C3D" w:rsidRDefault="00A00EF9" w:rsidP="005D2C3D">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5D2C3D">
        <w:rPr>
          <w:rFonts w:ascii="Times New Roman" w:eastAsia="Times New Roman" w:hAnsi="Times New Roman" w:cs="Times New Roman"/>
          <w:b/>
          <w:bCs/>
          <w:sz w:val="28"/>
          <w:szCs w:val="28"/>
          <w:lang w:eastAsia="ru-RU"/>
        </w:rPr>
        <w:t>О ПРОВЕДЕНИИ ФЕДЕРАЛЬНЫМИ ГОСУДАРСТВЕННЫМИ ОРГАНАМИ ОЦЕНКИ КОРРУПЦИОННЫХ РИСКОВ</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Министерство труда и социальной защиты Российской Федерации направляет для использования в работе Методические рекомендации по проведению оценки коррупционных рисков, возникающих при реализации функций (версия 2.0), доработанные по результатам их применения (прилагаются). В этой связи обращаем внимание, что версия Методических рекомендаций, направленная письмом от 22 июля 2013 г. N 18-0/10/2-4077, не актуальна и не подлежит применению.</w:t>
      </w:r>
      <w:bookmarkStart w:id="2" w:name="l1"/>
      <w:bookmarkEnd w:id="2"/>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В январе 2015 г. на заседании президиума Совета при Президенте Российской Федерации по противодействию коррупции будет рассмотрен вопрос "О результатах работы по проведению федеральными государственными органами оценок коррупционных рисков, возникающих при реализации ими своих функций".</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Для подготовки аналитических материалов, отражающих проведенную федеральными государственными органами работу в 2014 году, просим не позднее 17 января 2015 г. направить в Департамент развития государственной службы Минтруда России соответствующую информацию по прилагаемой форме, в том числе на адрес электронной почты </w:t>
      </w:r>
      <w:hyperlink r:id="rId5" w:history="1">
        <w:r w:rsidRPr="00A00EF9">
          <w:rPr>
            <w:rFonts w:ascii="Times New Roman" w:eastAsia="Times New Roman" w:hAnsi="Times New Roman" w:cs="Times New Roman"/>
            <w:color w:val="0000FF"/>
            <w:sz w:val="24"/>
            <w:szCs w:val="24"/>
            <w:u w:val="single"/>
            <w:lang w:eastAsia="ru-RU"/>
          </w:rPr>
          <w:t>KovalkovaEA@rosmintrud.ru</w:t>
        </w:r>
      </w:hyperlink>
      <w:r w:rsidRPr="00A00EF9">
        <w:rPr>
          <w:rFonts w:ascii="Times New Roman" w:eastAsia="Times New Roman" w:hAnsi="Times New Roman" w:cs="Times New Roman"/>
          <w:sz w:val="24"/>
          <w:szCs w:val="24"/>
          <w:lang w:eastAsia="ru-RU"/>
        </w:rPr>
        <w:t>.</w:t>
      </w:r>
      <w:bookmarkStart w:id="3" w:name="l70"/>
      <w:bookmarkStart w:id="4" w:name="l2"/>
      <w:bookmarkEnd w:id="3"/>
      <w:bookmarkEnd w:id="4"/>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В электронном виде форма размещена на официальном сайте Минтруда России по ссылке: </w:t>
      </w:r>
      <w:hyperlink r:id="rId6" w:tgtFrame="_blank" w:history="1">
        <w:r w:rsidRPr="00A00EF9">
          <w:rPr>
            <w:rFonts w:ascii="Times New Roman" w:eastAsia="Times New Roman" w:hAnsi="Times New Roman" w:cs="Times New Roman"/>
            <w:color w:val="0000FF"/>
            <w:sz w:val="24"/>
            <w:szCs w:val="24"/>
            <w:u w:val="single"/>
            <w:lang w:eastAsia="ru-RU"/>
          </w:rPr>
          <w:t>http://www.rosmintrud.ru/ministry/programms/gossluzhba/antikorr/2/13</w:t>
        </w:r>
      </w:hyperlink>
      <w:r w:rsidRPr="00A00EF9">
        <w:rPr>
          <w:rFonts w:ascii="Times New Roman" w:eastAsia="Times New Roman" w:hAnsi="Times New Roman" w:cs="Times New Roman"/>
          <w:sz w:val="24"/>
          <w:szCs w:val="24"/>
          <w:lang w:eastAsia="ru-RU"/>
        </w:rPr>
        <w:t>.</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i/>
          <w:iCs/>
          <w:sz w:val="24"/>
          <w:szCs w:val="24"/>
          <w:lang w:eastAsia="ru-RU"/>
        </w:rPr>
        <w:t>Т.В.БЛИНОВА</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i/>
          <w:iCs/>
          <w:sz w:val="24"/>
          <w:szCs w:val="24"/>
          <w:lang w:eastAsia="ru-RU"/>
        </w:rPr>
        <w:t>Версия 2.0</w:t>
      </w:r>
    </w:p>
    <w:p w:rsidR="00A00EF9" w:rsidRPr="005D2C3D" w:rsidRDefault="00A00EF9" w:rsidP="005D2C3D">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bookmarkStart w:id="5" w:name="h144"/>
      <w:bookmarkStart w:id="6" w:name="h145"/>
      <w:bookmarkEnd w:id="5"/>
      <w:bookmarkEnd w:id="6"/>
      <w:r w:rsidRPr="005D2C3D">
        <w:rPr>
          <w:rFonts w:ascii="Times New Roman" w:eastAsia="Times New Roman" w:hAnsi="Times New Roman" w:cs="Times New Roman"/>
          <w:b/>
          <w:bCs/>
          <w:sz w:val="28"/>
          <w:szCs w:val="28"/>
          <w:lang w:eastAsia="ru-RU"/>
        </w:rPr>
        <w:t>МЕТОДИЧЕСКИЕ РЕКОМЕНДАЦИИ</w:t>
      </w:r>
      <w:r w:rsidRPr="005D2C3D">
        <w:rPr>
          <w:rFonts w:ascii="Times New Roman" w:eastAsia="Times New Roman" w:hAnsi="Times New Roman" w:cs="Times New Roman"/>
          <w:b/>
          <w:bCs/>
          <w:sz w:val="28"/>
          <w:szCs w:val="28"/>
          <w:lang w:eastAsia="ru-RU"/>
        </w:rPr>
        <w:br/>
        <w:t>ПО ПРОВЕДЕНИЮ ОЦЕНКИ КОРРУПЦИОННЫХ РИСКОВ, ВОЗНИКАЮЩИХ ПРИ РЕАЛИЗАЦИИ ФУНКЦИЙ</w:t>
      </w:r>
    </w:p>
    <w:p w:rsid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Настоящие методические рекомендации подготовлены в соответствии с абзацем четвертым </w:t>
      </w:r>
      <w:hyperlink r:id="rId7" w:anchor="l213" w:tgtFrame="_blank" w:history="1">
        <w:r w:rsidRPr="00A00EF9">
          <w:rPr>
            <w:rFonts w:ascii="Times New Roman" w:eastAsia="Times New Roman" w:hAnsi="Times New Roman" w:cs="Times New Roman"/>
            <w:color w:val="0000FF"/>
            <w:sz w:val="24"/>
            <w:szCs w:val="24"/>
            <w:u w:val="single"/>
            <w:lang w:eastAsia="ru-RU"/>
          </w:rPr>
          <w:t>подпункта и)</w:t>
        </w:r>
      </w:hyperlink>
      <w:r w:rsidRPr="00A00EF9">
        <w:rPr>
          <w:rFonts w:ascii="Times New Roman" w:eastAsia="Times New Roman" w:hAnsi="Times New Roman" w:cs="Times New Roman"/>
          <w:sz w:val="24"/>
          <w:szCs w:val="24"/>
          <w:lang w:eastAsia="ru-RU"/>
        </w:rPr>
        <w:t xml:space="preserve"> пункта 2 Национального плана противодействия коррупции на 2012 - 2013 годы, утвержденного Указом Президента Российской Федерации от 13 марта 2012 г. N 297, и абзацами вторым и четвертым </w:t>
      </w:r>
      <w:hyperlink r:id="rId8" w:anchor="l110" w:tgtFrame="_blank" w:history="1">
        <w:r w:rsidRPr="00A00EF9">
          <w:rPr>
            <w:rFonts w:ascii="Times New Roman" w:eastAsia="Times New Roman" w:hAnsi="Times New Roman" w:cs="Times New Roman"/>
            <w:color w:val="0000FF"/>
            <w:sz w:val="24"/>
            <w:szCs w:val="24"/>
            <w:u w:val="single"/>
            <w:lang w:eastAsia="ru-RU"/>
          </w:rPr>
          <w:t>подпункта с)</w:t>
        </w:r>
      </w:hyperlink>
      <w:r w:rsidRPr="00A00EF9">
        <w:rPr>
          <w:rFonts w:ascii="Times New Roman" w:eastAsia="Times New Roman" w:hAnsi="Times New Roman" w:cs="Times New Roman"/>
          <w:sz w:val="24"/>
          <w:szCs w:val="24"/>
          <w:lang w:eastAsia="ru-RU"/>
        </w:rPr>
        <w:t xml:space="preserve"> пункта 2 Указа Президента Российской Федерации от 7 мая 2012 г. N 601 "Об основных направлениях совершенствования системы государственного управления" для использования федеральными государственными органами и государственными корпорациями (государственной компанией) при организации работы по проведению оценки коррупционных рисков, возникающих при реализации функций.</w:t>
      </w:r>
      <w:bookmarkStart w:id="7" w:name="l71"/>
      <w:bookmarkStart w:id="8" w:name="l3"/>
      <w:bookmarkStart w:id="9" w:name="l72"/>
      <w:bookmarkEnd w:id="7"/>
      <w:bookmarkEnd w:id="8"/>
      <w:bookmarkEnd w:id="9"/>
    </w:p>
    <w:p w:rsidR="005D2C3D" w:rsidRDefault="005D2C3D"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D2C3D" w:rsidRPr="00A00EF9" w:rsidRDefault="005D2C3D"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A00EF9" w:rsidRPr="00A00EF9" w:rsidRDefault="00A00EF9" w:rsidP="005D2C3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bookmarkStart w:id="10" w:name="h146"/>
      <w:bookmarkEnd w:id="10"/>
      <w:r w:rsidRPr="00A00EF9">
        <w:rPr>
          <w:rFonts w:ascii="Times New Roman" w:eastAsia="Times New Roman" w:hAnsi="Times New Roman" w:cs="Times New Roman"/>
          <w:b/>
          <w:bCs/>
          <w:sz w:val="27"/>
          <w:szCs w:val="27"/>
          <w:lang w:eastAsia="ru-RU"/>
        </w:rPr>
        <w:lastRenderedPageBreak/>
        <w:t>I. Общие положения</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1. Основной целью настоящих методических рекомендаций является обеспечение единого подхода в федеральных государственных органах и государственных корпорациях (государственной компании) к организации работы по следующим направлениям:</w:t>
      </w:r>
      <w:bookmarkStart w:id="11" w:name="l4"/>
      <w:bookmarkEnd w:id="11"/>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оценка коррупционных рисков, возникающих при реализации функций;</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внесение уточнений в перечни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мониторинг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w:t>
      </w:r>
      <w:bookmarkStart w:id="12" w:name="l73"/>
      <w:bookmarkStart w:id="13" w:name="l5"/>
      <w:bookmarkEnd w:id="12"/>
      <w:bookmarkEnd w:id="13"/>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2. Результатами применения настоящих методических рекомендаций будут являться:</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формирование перечня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bookmarkStart w:id="14" w:name="l74"/>
      <w:bookmarkEnd w:id="14"/>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минимизация коррупционных рисков либо их устранение в конкретных управленческих процессах.</w:t>
      </w:r>
      <w:bookmarkStart w:id="15" w:name="l6"/>
      <w:bookmarkEnd w:id="15"/>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3. Применительно к настоящим методическим рекомендациям используются следующие понятия:</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коррупция:</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&lt;1&gt;;</w:t>
      </w:r>
      <w:bookmarkStart w:id="16" w:name="l7"/>
      <w:bookmarkEnd w:id="16"/>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совершение деяний, указанных в абзаце третьем настоящего пункта, от имени или в интересах юридического лица &lt;1&gt;;</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&lt;1&gt; </w:t>
      </w:r>
      <w:hyperlink r:id="rId9" w:anchor="l2" w:tgtFrame="_blank" w:history="1">
        <w:r w:rsidRPr="00A00EF9">
          <w:rPr>
            <w:rFonts w:ascii="Times New Roman" w:eastAsia="Times New Roman" w:hAnsi="Times New Roman" w:cs="Times New Roman"/>
            <w:color w:val="0000FF"/>
            <w:sz w:val="24"/>
            <w:szCs w:val="24"/>
            <w:u w:val="single"/>
            <w:lang w:eastAsia="ru-RU"/>
          </w:rPr>
          <w:t>Статья 1</w:t>
        </w:r>
      </w:hyperlink>
      <w:r w:rsidRPr="00A00EF9">
        <w:rPr>
          <w:rFonts w:ascii="Times New Roman" w:eastAsia="Times New Roman" w:hAnsi="Times New Roman" w:cs="Times New Roman"/>
          <w:sz w:val="24"/>
          <w:szCs w:val="24"/>
          <w:lang w:eastAsia="ru-RU"/>
        </w:rPr>
        <w:t xml:space="preserve"> Федерального закона от 25 декабря 2008 г. N 273-ФЗ "О противодействии коррупции" (Собрание законодательства Российской Федерации, 2008, N 52 (ч. I), ст. 6228).</w:t>
      </w:r>
      <w:bookmarkStart w:id="17" w:name="l75"/>
      <w:bookmarkEnd w:id="17"/>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00EF9">
        <w:rPr>
          <w:rFonts w:ascii="Times New Roman" w:eastAsia="Times New Roman" w:hAnsi="Times New Roman" w:cs="Times New Roman"/>
          <w:sz w:val="24"/>
          <w:szCs w:val="24"/>
          <w:lang w:eastAsia="ru-RU"/>
        </w:rPr>
        <w:t>коррупциогенные</w:t>
      </w:r>
      <w:proofErr w:type="spellEnd"/>
      <w:r w:rsidRPr="00A00EF9">
        <w:rPr>
          <w:rFonts w:ascii="Times New Roman" w:eastAsia="Times New Roman" w:hAnsi="Times New Roman" w:cs="Times New Roman"/>
          <w:sz w:val="24"/>
          <w:szCs w:val="24"/>
          <w:lang w:eastAsia="ru-RU"/>
        </w:rPr>
        <w:t xml:space="preserve"> факторы - положения нормативных правовых актов (проектов нормативных правовых актов), устанавливающие для </w:t>
      </w:r>
      <w:proofErr w:type="spellStart"/>
      <w:r w:rsidRPr="00A00EF9">
        <w:rPr>
          <w:rFonts w:ascii="Times New Roman" w:eastAsia="Times New Roman" w:hAnsi="Times New Roman" w:cs="Times New Roman"/>
          <w:sz w:val="24"/>
          <w:szCs w:val="24"/>
          <w:lang w:eastAsia="ru-RU"/>
        </w:rPr>
        <w:t>правоприменителя</w:t>
      </w:r>
      <w:proofErr w:type="spellEnd"/>
      <w:r w:rsidRPr="00A00EF9">
        <w:rPr>
          <w:rFonts w:ascii="Times New Roman" w:eastAsia="Times New Roman" w:hAnsi="Times New Roman" w:cs="Times New Roman"/>
          <w:sz w:val="24"/>
          <w:szCs w:val="24"/>
          <w:lang w:eastAsia="ru-RU"/>
        </w:rPr>
        <w:t xml:space="preserve">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w:t>
      </w:r>
      <w:r w:rsidRPr="00A00EF9">
        <w:rPr>
          <w:rFonts w:ascii="Times New Roman" w:eastAsia="Times New Roman" w:hAnsi="Times New Roman" w:cs="Times New Roman"/>
          <w:sz w:val="24"/>
          <w:szCs w:val="24"/>
          <w:lang w:eastAsia="ru-RU"/>
        </w:rPr>
        <w:lastRenderedPageBreak/>
        <w:t>трудновыполнимые и (или) обременительные требования к гражданам и организациям и тем самым создающие условия для проявления коррупции &lt;1&gt;.</w:t>
      </w:r>
      <w:bookmarkStart w:id="18" w:name="l8"/>
      <w:bookmarkEnd w:id="18"/>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&lt;1&gt; Постановление Правительства Российской Федерации </w:t>
      </w:r>
      <w:hyperlink r:id="rId10" w:anchor="l0" w:tgtFrame="_blank" w:history="1">
        <w:r w:rsidRPr="00A00EF9">
          <w:rPr>
            <w:rFonts w:ascii="Times New Roman" w:eastAsia="Times New Roman" w:hAnsi="Times New Roman" w:cs="Times New Roman"/>
            <w:color w:val="0000FF"/>
            <w:sz w:val="24"/>
            <w:szCs w:val="24"/>
            <w:u w:val="single"/>
            <w:lang w:eastAsia="ru-RU"/>
          </w:rPr>
          <w:t>от 26 февраля 2010 г. N 96</w:t>
        </w:r>
      </w:hyperlink>
      <w:r w:rsidRPr="00A00EF9">
        <w:rPr>
          <w:rFonts w:ascii="Times New Roman" w:eastAsia="Times New Roman" w:hAnsi="Times New Roman" w:cs="Times New Roman"/>
          <w:sz w:val="24"/>
          <w:szCs w:val="24"/>
          <w:lang w:eastAsia="ru-RU"/>
        </w:rPr>
        <w:t xml:space="preserve"> "Об антикоррупционной экспертизе нормативных правовых актов и проектов нормативных правовых актов" (Собрание законодательства Российской Федерации, 2010, N 10, ст. 1084).</w:t>
      </w:r>
      <w:bookmarkStart w:id="19" w:name="l76"/>
      <w:bookmarkEnd w:id="19"/>
    </w:p>
    <w:p w:rsidR="00A00EF9" w:rsidRPr="00A00EF9" w:rsidRDefault="00A00EF9" w:rsidP="005D2C3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bookmarkStart w:id="20" w:name="h147"/>
      <w:bookmarkEnd w:id="20"/>
      <w:r w:rsidRPr="00A00EF9">
        <w:rPr>
          <w:rFonts w:ascii="Times New Roman" w:eastAsia="Times New Roman" w:hAnsi="Times New Roman" w:cs="Times New Roman"/>
          <w:b/>
          <w:bCs/>
          <w:sz w:val="27"/>
          <w:szCs w:val="27"/>
          <w:lang w:eastAsia="ru-RU"/>
        </w:rPr>
        <w:t>II. 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4. Определение перечня функций федеральных государственных органов, государственных корпораций (государственной компании), при реализации которых наиболее вероятно возникновение коррупции (далее -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-опасные функции), рекомендуется осуществлять посредством выделения тех функций, при реализации которых существуют предпосылки для возникновения коррупции.</w:t>
      </w:r>
      <w:bookmarkStart w:id="21" w:name="l148"/>
      <w:bookmarkEnd w:id="21"/>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5. К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-опасным функциям может быть отнесено осуществление функций по контролю и надзору, управлению государственным имуществом, оказанию государственных услуг, а также разрешительных, регистрационных функций.</w:t>
      </w:r>
      <w:bookmarkStart w:id="22" w:name="l10"/>
      <w:bookmarkEnd w:id="22"/>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Под функциями по контролю и надзору понимается осуществление действий по контролю и надзору за исполнением органами государственной власти, органами местного самоуправления, их должностными лицами, юридическими лицами и гражданами установленных </w:t>
      </w:r>
      <w:hyperlink r:id="rId11" w:anchor="l0" w:tgtFrame="_blank" w:history="1">
        <w:r w:rsidRPr="00A00EF9">
          <w:rPr>
            <w:rFonts w:ascii="Times New Roman" w:eastAsia="Times New Roman" w:hAnsi="Times New Roman" w:cs="Times New Roman"/>
            <w:color w:val="0000FF"/>
            <w:sz w:val="24"/>
            <w:szCs w:val="24"/>
            <w:u w:val="single"/>
            <w:lang w:eastAsia="ru-RU"/>
          </w:rPr>
          <w:t>Конституцией</w:t>
        </w:r>
      </w:hyperlink>
      <w:r w:rsidRPr="00A00EF9">
        <w:rPr>
          <w:rFonts w:ascii="Times New Roman" w:eastAsia="Times New Roman" w:hAnsi="Times New Roman" w:cs="Times New Roman"/>
          <w:sz w:val="24"/>
          <w:szCs w:val="24"/>
          <w:lang w:eastAsia="ru-RU"/>
        </w:rPr>
        <w:t xml:space="preserve"> Российской Федерации, федеральными конституционными законами, федеральными законами и другими нормативными правовыми актами общеобязательных правил поведения (инспекции, ревизии, проверки) &lt;1&gt;.</w:t>
      </w:r>
      <w:bookmarkStart w:id="23" w:name="l77"/>
      <w:bookmarkStart w:id="24" w:name="l11"/>
      <w:bookmarkEnd w:id="23"/>
      <w:bookmarkEnd w:id="24"/>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Под функциями по управлению государственным имуществом понимается осуществление полномочий собственника в отношении федерального имущества, в том числе переданного федеральным государственным унитарным предприятиям, федеральным казенным предприятиям и государственным учреждениям, а также управление находящимися в федеральной собственности акциями открытых акционерных обществ &lt;1&gt;.</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Под функциями по оказанию государственных услуг понимается предоставление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непосредственно или через подведомственные им федеральные государственные учреждения либо иные организации безвозмездно или по регулируемым органами государственной власти ценам,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&lt;1&gt;.</w:t>
      </w:r>
      <w:bookmarkStart w:id="25" w:name="l12"/>
      <w:bookmarkStart w:id="26" w:name="l78"/>
      <w:bookmarkStart w:id="27" w:name="l13"/>
      <w:bookmarkEnd w:id="25"/>
      <w:bookmarkEnd w:id="26"/>
      <w:bookmarkEnd w:id="27"/>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&lt;1&gt; Указ Президента Российской Федерации </w:t>
      </w:r>
      <w:hyperlink r:id="rId12" w:anchor="l0" w:tgtFrame="_blank" w:history="1">
        <w:r w:rsidRPr="00A00EF9">
          <w:rPr>
            <w:rFonts w:ascii="Times New Roman" w:eastAsia="Times New Roman" w:hAnsi="Times New Roman" w:cs="Times New Roman"/>
            <w:color w:val="0000FF"/>
            <w:sz w:val="24"/>
            <w:szCs w:val="24"/>
            <w:u w:val="single"/>
            <w:lang w:eastAsia="ru-RU"/>
          </w:rPr>
          <w:t>от 9 марта 2004 г. N 314</w:t>
        </w:r>
      </w:hyperlink>
      <w:r w:rsidRPr="00A00EF9">
        <w:rPr>
          <w:rFonts w:ascii="Times New Roman" w:eastAsia="Times New Roman" w:hAnsi="Times New Roman" w:cs="Times New Roman"/>
          <w:sz w:val="24"/>
          <w:szCs w:val="24"/>
          <w:lang w:eastAsia="ru-RU"/>
        </w:rPr>
        <w:t xml:space="preserve"> "О системе и структуре федеральных органов исполнительной власти" (Собрание законодательства Российской Федерации, 2004, ст. 945).</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6. Правовое положение, цель деятельности и функции федеральных государственных органов, государственных корпораций (государственной компании) устанавливаются нормативными правовыми актами Российской Федерации, уставами и предусматривают </w:t>
      </w:r>
      <w:r w:rsidRPr="00A00EF9">
        <w:rPr>
          <w:rFonts w:ascii="Times New Roman" w:eastAsia="Times New Roman" w:hAnsi="Times New Roman" w:cs="Times New Roman"/>
          <w:sz w:val="24"/>
          <w:szCs w:val="24"/>
          <w:lang w:eastAsia="ru-RU"/>
        </w:rPr>
        <w:lastRenderedPageBreak/>
        <w:t xml:space="preserve">четкое разграничение функций между федеральными государственными органами и государственными корпорациями (государственной компанией). В этой связи при определении перечня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-опасных функций рекомендуется обратить внимание на функции, предусматривающие:</w:t>
      </w:r>
      <w:bookmarkStart w:id="28" w:name="l79"/>
      <w:bookmarkStart w:id="29" w:name="l14"/>
      <w:bookmarkEnd w:id="28"/>
      <w:bookmarkEnd w:id="29"/>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размещение заказов на поставку товаров, выполнение работ и оказание услуг для государственных нужд;</w:t>
      </w:r>
      <w:bookmarkStart w:id="30" w:name="_GoBack"/>
      <w:bookmarkEnd w:id="30"/>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осуществление государственного надзора и контроля;</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bookmarkStart w:id="31" w:name="l80"/>
      <w:bookmarkEnd w:id="31"/>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организацию продажи федерального имущества, иного имущества, принадлежащего Российской Федерации;</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предоставление права на заключение договоров аренды земельных участков, других объектов недвижимого имущества, находящихся в федеральной собственности;</w:t>
      </w:r>
      <w:bookmarkStart w:id="32" w:name="l15"/>
      <w:bookmarkEnd w:id="32"/>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подготовку и принятие решений о возврате или зачете излишне уплаченных или излишне взысканных сумм налогов и сборов, а также пеней и штрафов;</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подготовку и принятие решений об отсрочке уплаты налогов и сборов;</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лицензирование отдельных видов деятельности, выдача разрешений на отдельные виды работ и иные аналогичные действия;</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проведение государственной экспертизы и выдачу заключений;</w:t>
      </w:r>
      <w:bookmarkStart w:id="33" w:name="l81"/>
      <w:bookmarkEnd w:id="33"/>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возбуждение и рассмотрение дел об административных правонарушениях, проведение административного расследования;</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возбуждение уголовных дел, проведение расследования;</w:t>
      </w:r>
      <w:bookmarkStart w:id="34" w:name="l16"/>
      <w:bookmarkEnd w:id="34"/>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имуществу;</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представление в судебных органах прав и законных интересов Российской Федерации;</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регистрацию имущества и ведение баз данных имущества;</w:t>
      </w:r>
      <w:bookmarkStart w:id="35" w:name="l82"/>
      <w:bookmarkEnd w:id="35"/>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предоставление государственных услуг гражданам и организациям;</w:t>
      </w:r>
      <w:bookmarkStart w:id="36" w:name="l17"/>
      <w:bookmarkEnd w:id="36"/>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хранение и распределение материально-технических ресурсов.</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Вышеперечисленный перечень не является исчерпывающим и носит рекомендательный характер для определения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-опасных функций в конкретном федеральном государственном органе, государственной корпорации (государственной компании).</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lastRenderedPageBreak/>
        <w:t xml:space="preserve">7. Информация о том, что при реализации той или иной функции возникают коррупционные риски (т.е. функция является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-опасной), может быть выявлена:</w:t>
      </w:r>
      <w:bookmarkStart w:id="37" w:name="l83"/>
      <w:bookmarkEnd w:id="37"/>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в ходе заседания комиссии по соблюдению требований к служебному поведению и урегулированию конфликта интересов (аттестационной комиссии);</w:t>
      </w:r>
      <w:bookmarkStart w:id="38" w:name="l18"/>
      <w:bookmarkEnd w:id="38"/>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в статистических данных, в том числе в данных о состоянии преступности в Российской Федерации;</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по результатам рассмотрения:</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обращений граждан, содержащих информацию о коррупционных правонарушениях, в том числе обращений, поступивших по "горячей линии", "электронной приемной" и т.д.;</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уведомлений представителя нанимателя (работодателя) о фактах обращения в целях склонения федерального государственного служащего, работника государственной корпорации (государственной компании) (далее - должностные лица) к совершению коррупционных правонарушений;</w:t>
      </w:r>
      <w:bookmarkStart w:id="39" w:name="l84"/>
      <w:bookmarkStart w:id="40" w:name="l19"/>
      <w:bookmarkEnd w:id="39"/>
      <w:bookmarkEnd w:id="40"/>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сообщений в СМИ о коррупционных правонарушениях или фактах несоблюдения должностными лицами требований к служебному поведению;</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материалов, представленных правоохранительными органами, иными государственными органами, органами местного самоуправления и их должностными лицами;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палатой Российской Федерации.</w:t>
      </w:r>
      <w:bookmarkStart w:id="41" w:name="l85"/>
      <w:bookmarkStart w:id="42" w:name="l20"/>
      <w:bookmarkEnd w:id="41"/>
      <w:bookmarkEnd w:id="42"/>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Перечень источников, указанных в настоящем пункте, не является исчерпывающим.</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8. По итогам реализации вышеизложенных мероприятий федеральными государственными органами и государственными корпорациями (государственной компанией) формируются и утверждаются перечни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-опасных функций.</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Перечень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-опасных функций может быть утвержден руководителем федерального государственного органа, государственной корпорации (государственной компании) посредством оформления грифа "Утверждаю" либо одобрен на заседании комиссии по соблюдению требований к служебному поведению и урегулированию конфликта интересов (аттестационной комиссии), что также оформляется грифом "Одобрено на заседании комиссии по соблюдению требований к служебному поведению и урегулированию конфликта интересов".</w:t>
      </w:r>
      <w:bookmarkStart w:id="43" w:name="l86"/>
      <w:bookmarkStart w:id="44" w:name="l21"/>
      <w:bookmarkEnd w:id="43"/>
      <w:bookmarkEnd w:id="44"/>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Основанием для проведения заседания комиссии будет являться представление руководителя федерального государственного органа, государственной корпорации (государственной компании) или любого члена комиссии, касающееся осуществления в федеральном государственном органе, государственной корпорации (государственной компании) мер по предупреждению коррупции (подпункт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w:t>
      </w:r>
      <w:bookmarkStart w:id="45" w:name="l87"/>
      <w:bookmarkStart w:id="46" w:name="l22"/>
      <w:bookmarkEnd w:id="45"/>
      <w:bookmarkEnd w:id="46"/>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lastRenderedPageBreak/>
        <w:t xml:space="preserve">9. Основаниями для внесения изменений (дополнений) в перечень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-опасных функций могут стать изменения законодательства Российской Федерации, предусматривающие возложение новых или перераспределение реализуемых функций, результаты проведения оценки коррупционных рисков, возникающих при реализации функций, мониторинга исполнения должностных обязанностей федеральными государственными служащими и работниками государственных корпораций (государственной компании) и т.д.</w:t>
      </w:r>
      <w:bookmarkStart w:id="47" w:name="l88"/>
      <w:bookmarkStart w:id="48" w:name="l23"/>
      <w:bookmarkEnd w:id="47"/>
      <w:bookmarkEnd w:id="48"/>
    </w:p>
    <w:p w:rsidR="00A00EF9" w:rsidRPr="00A00EF9" w:rsidRDefault="00A00EF9" w:rsidP="005D2C3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bookmarkStart w:id="49" w:name="h149"/>
      <w:bookmarkEnd w:id="49"/>
      <w:r w:rsidRPr="00A00EF9">
        <w:rPr>
          <w:rFonts w:ascii="Times New Roman" w:eastAsia="Times New Roman" w:hAnsi="Times New Roman" w:cs="Times New Roman"/>
          <w:b/>
          <w:bCs/>
          <w:sz w:val="27"/>
          <w:szCs w:val="27"/>
          <w:lang w:eastAsia="ru-RU"/>
        </w:rPr>
        <w:t>III. Формирование перечня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10. Оценка коррупционных рисков заключается в выявлении условий и обстоятельств (действий, событий), возникающих в ходе конкретного управленческого процесса, позволяющих злоупотреблять должностными (трудовыми) обязанностями в целях получения, как для должностных лиц, так и для третьих лиц выгоды в виде денег, ценностей, иного имущества или услуг имущественного характера, иных имущественных прав вопреки законным интересам общества и государства.</w:t>
      </w:r>
      <w:bookmarkStart w:id="50" w:name="l89"/>
      <w:bookmarkStart w:id="51" w:name="l24"/>
      <w:bookmarkEnd w:id="50"/>
      <w:bookmarkEnd w:id="51"/>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11. В ходе проведения оценки коррупционных рисков подлежат выявлению те административные процедуры, которые являются предметом коррупционных отношений.</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При этом анализируется:</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что является предметом коррупции (за какие действия (бездействия) предоставляется выгода);</w:t>
      </w:r>
      <w:bookmarkStart w:id="52" w:name="l90"/>
      <w:bookmarkEnd w:id="52"/>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какие коррупционные схемы используются.</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12. Должности федеральной государственной службы, должности в государственной корпорации (государственной компании), которые являются ключевыми для совершения коррупционных правонарушений, определяются с учетом высокой степени свободы принятия решений, вызванной спецификой служебной (трудовой) деятельности, интенсивности контактов с гражданами и организациями.</w:t>
      </w:r>
      <w:bookmarkStart w:id="53" w:name="l25"/>
      <w:bookmarkEnd w:id="53"/>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13. Признаками, характеризующими коррупционное поведение должностного лица при осуществлении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-опасных функций, могут служить:</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необоснованное затягивание решения вопроса сверх установленных сроков (волокита) при принятии решений, связанных с реализацией прав граждан или юридических лиц,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w:t>
      </w:r>
      <w:bookmarkStart w:id="54" w:name="l91"/>
      <w:bookmarkStart w:id="55" w:name="l26"/>
      <w:bookmarkEnd w:id="54"/>
      <w:bookmarkEnd w:id="55"/>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использование своих служебных полномочий при решении личных вопросов, связанных с удовлетворением материальных потребностей должностного лица либо его родственников;</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предоставление не предусмотренных законом преимуществ (протекционизм, семейственность) для поступления на государственную службу, на работу в государственную корпорацию (государственную компанию);</w:t>
      </w:r>
      <w:bookmarkStart w:id="56" w:name="l92"/>
      <w:bookmarkEnd w:id="56"/>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lastRenderedPageBreak/>
        <w:t>оказание предпочтения физическим лицам, индивидуальным предпринимателям, юридическим лицам в предоставлении публичных услуг, а также содействие в осуществлении предпринимательской деятельности;</w:t>
      </w:r>
      <w:bookmarkStart w:id="57" w:name="l27"/>
      <w:bookmarkEnd w:id="57"/>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использование в личных или групповых интересах информации, полученной при выполнении служебных (трудовых) обязанностей, если такая информация не подлежит официальному распространению;</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требование от физических и юридических лиц информации, предоставление которой не предусмотрено законодательством Российской Федерации;</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а также сведения о:</w:t>
      </w:r>
      <w:bookmarkStart w:id="58" w:name="l93"/>
      <w:bookmarkEnd w:id="58"/>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нарушении должностными лицами требований нормативных правовых, ведомственных, локальных актов, регламентирующих вопросы организации, планирования и проведения мероприятий, предусмотренных должностными (трудовыми) обязанностями;</w:t>
      </w:r>
      <w:bookmarkStart w:id="59" w:name="l28"/>
      <w:bookmarkEnd w:id="59"/>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искажении, сокрытии или представлении заведомо ложных сведений в служебных учетных и отчетных документах, являющихся существенным элементом служебной (трудовой) деятельности;</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попытках несанкционированного доступа к информационным ресурсам;</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действиях распорядительного характера, превышающих или не относящихся к должностным (трудовым) полномочиям;</w:t>
      </w:r>
      <w:bookmarkStart w:id="60" w:name="l94"/>
      <w:bookmarkEnd w:id="60"/>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бездействии в случаях, требующих принятия решений в соответствии со служебными (трудовыми) обязанностями;</w:t>
      </w:r>
      <w:bookmarkStart w:id="61" w:name="l29"/>
      <w:bookmarkEnd w:id="61"/>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получении должностным лицом, его супругой (супругом), близкими родственниками необоснованно высокого вознаграждения за создание произведений литературы, науки, искусства, чтение лекций и иную преподавательскую деятельность;</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получении должностным лицом, его супругой (супругом), близкими родственниками кредитов или займов на необоснованно длительные сроки или по необоснованно низким ставкам, равно как и предоставление необоснованно высоких ставок по банковским вкладам (депозитам) указанных лиц;</w:t>
      </w:r>
      <w:bookmarkStart w:id="62" w:name="l95"/>
      <w:bookmarkEnd w:id="62"/>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совершении частых или крупных сделок с субъектами предпринимательской деятельности, владельцами которых или руководящие должности в которых замещают родственники должностных лиц;</w:t>
      </w:r>
      <w:bookmarkStart w:id="63" w:name="l30"/>
      <w:bookmarkEnd w:id="63"/>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совершении финансово-хозяйственных операций с очевидными (даже не для специалиста) нарушениями действующего законодательства.</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14. По итогам реализации вышеизложенных мероприятий федеральным государственным органам и государственным корпорациям (государственной компании) рекомендуется сформировать и утвердить перечень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 (издание соответствующих нормативных правовых актов предусмотрено пунктом 2 Указа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w:t>
      </w:r>
      <w:r w:rsidRPr="00A00EF9">
        <w:rPr>
          <w:rFonts w:ascii="Times New Roman" w:eastAsia="Times New Roman" w:hAnsi="Times New Roman" w:cs="Times New Roman"/>
          <w:sz w:val="24"/>
          <w:szCs w:val="24"/>
          <w:lang w:eastAsia="ru-RU"/>
        </w:rPr>
        <w:lastRenderedPageBreak/>
        <w:t>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подпунктом "а" пункта 22 и подпунктом "в" пункта 23 Указа Президента Российской Федерации от 2 апреля 2013 г. N 309 "О мерах по реализации отдельных положений Федерального закона "О противодействии коррупции").</w:t>
      </w:r>
      <w:bookmarkStart w:id="64" w:name="l96"/>
      <w:bookmarkStart w:id="65" w:name="l31"/>
      <w:bookmarkStart w:id="66" w:name="l97"/>
      <w:bookmarkStart w:id="67" w:name="l32"/>
      <w:bookmarkEnd w:id="64"/>
      <w:bookmarkEnd w:id="65"/>
      <w:bookmarkEnd w:id="66"/>
      <w:bookmarkEnd w:id="67"/>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Утверждение данного перечня осуществляется руководителем федерального государственного органа, государственной корпорации (государственной компании) посредством издания нормативного правового акта преимущественно после рассмотрения соответствующего вопроса на заседании комиссии по соблюдению требований к служебному поведению и урегулированию конфликта интересов (аттестационной комиссии).</w:t>
      </w:r>
      <w:bookmarkStart w:id="68" w:name="l98"/>
      <w:bookmarkEnd w:id="68"/>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Основанием для проведения заседания комиссии будет являться представление руководителя федерального государственного органа, государственной корпорации (государственной компании) или любого члена комиссии, касающееся осуществления в федеральном государственном органе, государственной корпорации мер по предупреждению коррупции (подпункт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w:t>
      </w:r>
      <w:bookmarkStart w:id="69" w:name="l33"/>
      <w:bookmarkStart w:id="70" w:name="l99"/>
      <w:bookmarkEnd w:id="69"/>
      <w:bookmarkEnd w:id="70"/>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Уточнение (корректировку) перечня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 предлагается осуществлять по результатам оценки коррупционных рисков и не реже одного раза в год.</w:t>
      </w:r>
      <w:bookmarkStart w:id="71" w:name="l34"/>
      <w:bookmarkEnd w:id="71"/>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15. В соответствии с антикоррупционным законодательством лица, замещающие должности, включенные в обозначенный перечень должностей, обязаны представлять сведения о своих доходах, расходах, имуществе и обязательствах имущественного характера, а также сведения о доходах, расходах, имуществе и обязательствах имущественного характера своих супруги (супруга) и несовершеннолетних детей.</w:t>
      </w:r>
      <w:bookmarkStart w:id="72" w:name="l100"/>
      <w:bookmarkStart w:id="73" w:name="l35"/>
      <w:bookmarkEnd w:id="72"/>
      <w:bookmarkEnd w:id="73"/>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Таким образом, федеральными государственными органами и государственными корпорациями (государственной компанией) будет определен круг должностных лиц, деятельность и имущественное положение которых является объектом пристального внимания, как со стороны общественности, так и со стороны сотрудников кадровых служб, ответственных за работу по профилактике коррупционных и иных правонарушений, что позволит осуществлять обоснованный контроль за благосостоянием и имущественным положением данных должностных лиц и их супруг (супругов) и несовершеннолетних детей.</w:t>
      </w:r>
      <w:bookmarkStart w:id="74" w:name="l101"/>
      <w:bookmarkStart w:id="75" w:name="l36"/>
      <w:bookmarkEnd w:id="74"/>
      <w:bookmarkEnd w:id="75"/>
    </w:p>
    <w:p w:rsidR="00A00EF9" w:rsidRPr="00A00EF9" w:rsidRDefault="00A00EF9" w:rsidP="005D2C3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bookmarkStart w:id="76" w:name="h150"/>
      <w:bookmarkEnd w:id="76"/>
      <w:r w:rsidRPr="00A00EF9">
        <w:rPr>
          <w:rFonts w:ascii="Times New Roman" w:eastAsia="Times New Roman" w:hAnsi="Times New Roman" w:cs="Times New Roman"/>
          <w:b/>
          <w:bCs/>
          <w:sz w:val="27"/>
          <w:szCs w:val="27"/>
          <w:lang w:eastAsia="ru-RU"/>
        </w:rPr>
        <w:t xml:space="preserve">IV. Минимизация коррупционных рисков либо их устранение в конкретных управленческих процессах реализации </w:t>
      </w:r>
      <w:proofErr w:type="spellStart"/>
      <w:r w:rsidRPr="00A00EF9">
        <w:rPr>
          <w:rFonts w:ascii="Times New Roman" w:eastAsia="Times New Roman" w:hAnsi="Times New Roman" w:cs="Times New Roman"/>
          <w:b/>
          <w:bCs/>
          <w:sz w:val="27"/>
          <w:szCs w:val="27"/>
          <w:lang w:eastAsia="ru-RU"/>
        </w:rPr>
        <w:t>коррупционно</w:t>
      </w:r>
      <w:proofErr w:type="spellEnd"/>
      <w:r w:rsidRPr="00A00EF9">
        <w:rPr>
          <w:rFonts w:ascii="Times New Roman" w:eastAsia="Times New Roman" w:hAnsi="Times New Roman" w:cs="Times New Roman"/>
          <w:b/>
          <w:bCs/>
          <w:sz w:val="27"/>
          <w:szCs w:val="27"/>
          <w:lang w:eastAsia="ru-RU"/>
        </w:rPr>
        <w:t>-опасных функций</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16. Минимизация коррупционных рисков либо их устранение достигается различными методами, например, регламентацией административных процедур исполнения соответствующей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-опасной функции, их упрощением либо исключением, установлением препятствий (ограничений), затрудняющих реализацию коррупционных схем.</w:t>
      </w:r>
      <w:bookmarkStart w:id="77" w:name="l102"/>
      <w:bookmarkEnd w:id="77"/>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lastRenderedPageBreak/>
        <w:t>17. Регламентация административных процедур позволяет снизить степень угрозы возникновения коррупции в связи со следующим:</w:t>
      </w:r>
      <w:bookmarkStart w:id="78" w:name="l37"/>
      <w:bookmarkEnd w:id="78"/>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значительно уменьшается риск отклонения должностного лица при реализации должностных полномочий от достижения закрепленной цели возникших правоотношений;</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снижается степень усмотрения должностных лиц при принятии управленческих решений;</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создаются условия для осуществления надлежащего контроля за процессом принятия управленческих решений, что при необходимости позволяет корректировать ошибочные решения, не дожидаясь развития конфликтной ситуации;</w:t>
      </w:r>
      <w:bookmarkStart w:id="79" w:name="l103"/>
      <w:bookmarkEnd w:id="79"/>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обеспечивается единообразное осуществление функций должностными лицами различных федеральных государственных органов, государственных корпораций (государственной компании);</w:t>
      </w:r>
      <w:bookmarkStart w:id="80" w:name="l38"/>
      <w:bookmarkEnd w:id="80"/>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создается гласная, открытая модель реализации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-опасной функции.</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При этом дробление административных процедур на дополнительные стадии с их закреплением за независимыми друг от друга должностными лицами позволит обеспечить взаимный контроль.</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18. В качестве установления препятствий (ограничений), затрудняющих реализацию коррупционных схем, предлагается применять следующие меры:</w:t>
      </w:r>
      <w:bookmarkStart w:id="81" w:name="l104"/>
      <w:bookmarkEnd w:id="81"/>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перераспределение функций между структурными подразделениями внутри федерального государственного органа, государственной корпорации (государственной компании);</w:t>
      </w:r>
      <w:bookmarkStart w:id="82" w:name="l39"/>
      <w:bookmarkEnd w:id="82"/>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введение или расширение процессуальных форм взаимодействия граждан (организаций) и должностных лиц, например, использование информационных технологий в качестве приоритетного направления для осуществления служебной деятельности ("одно окно", система электронного обмена информацией);</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исключение необходимости личного взаимодействия (общения) должностных лиц с гражданами и организациями;</w:t>
      </w:r>
      <w:bookmarkStart w:id="83" w:name="l105"/>
      <w:bookmarkEnd w:id="83"/>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совершенствование механизма отбора должностных лиц для включения в состав комиссий, рабочих групп, принимающих управленческие решения;</w:t>
      </w:r>
      <w:bookmarkStart w:id="84" w:name="l40"/>
      <w:bookmarkEnd w:id="84"/>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сокращение количества должностных лиц, участвующих в принятии управленческого решения, обеспечивающего реализацию субъективных прав и юридических обязанностей;</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оптимизация перечня документов (материалов, информации), которые граждане (организации) обязаны предоставить для реализации права;</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сокращение сроков принятия, управленческих решений;</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установление четкой регламентации способа и сроков совершения действий должностным лицом при осуществлении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-опасной функции;</w:t>
      </w:r>
      <w:bookmarkStart w:id="85" w:name="l106"/>
      <w:bookmarkEnd w:id="85"/>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установление дополнительных форм отчетности должностных лиц о результатах принятых решений.</w:t>
      </w:r>
      <w:bookmarkStart w:id="86" w:name="l41"/>
      <w:bookmarkEnd w:id="86"/>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lastRenderedPageBreak/>
        <w:t>19. В целях недопущения совершения должностными лицами коррупционных правонарушений реализацию мероприятий, содержащихся в настоящих методических рекомендациях, целесообразно осуществлять на постоянной основе посредством:</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организации внутреннего контроля за исполнением должностными лицами своих обязанностей, введения системы внутреннего информирования. При этом проверочные мероприятия могут проводиться как в рамках проверки достоверности и полноты сведений о доходах, об имуществе и обязательствах имущественного характера (Указ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контроля за соответствием расходов доходам (Федеральный закон </w:t>
      </w:r>
      <w:hyperlink r:id="rId13" w:anchor="l0" w:tgtFrame="_blank" w:history="1">
        <w:r w:rsidRPr="00A00EF9">
          <w:rPr>
            <w:rFonts w:ascii="Times New Roman" w:eastAsia="Times New Roman" w:hAnsi="Times New Roman" w:cs="Times New Roman"/>
            <w:color w:val="0000FF"/>
            <w:sz w:val="24"/>
            <w:szCs w:val="24"/>
            <w:u w:val="single"/>
            <w:lang w:eastAsia="ru-RU"/>
          </w:rPr>
          <w:t>от 3 декабря 2012 г. N 230-ФЗ</w:t>
        </w:r>
      </w:hyperlink>
      <w:r w:rsidRPr="00A00EF9">
        <w:rPr>
          <w:rFonts w:ascii="Times New Roman" w:eastAsia="Times New Roman"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так и на основании поступившей информации о коррупционных проявлениях, в том числе жалоб и обращений граждан и организаций, публикаций о фактах коррупционной деятельности должностных лиц в СМИ;</w:t>
      </w:r>
      <w:bookmarkStart w:id="87" w:name="l42"/>
      <w:bookmarkStart w:id="88" w:name="l107"/>
      <w:bookmarkStart w:id="89" w:name="l43"/>
      <w:bookmarkEnd w:id="87"/>
      <w:bookmarkEnd w:id="88"/>
      <w:bookmarkEnd w:id="89"/>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использования средств видеонаблюдения и аудиозаписи в местах приема граждан и представителей организаций;</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проведения разъяснительной и иной работы для существенного снижения возможностей коррупционного поведения при исполнении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-опасных функций.</w:t>
      </w:r>
      <w:bookmarkStart w:id="90" w:name="l108"/>
      <w:bookmarkEnd w:id="90"/>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20. Таким образом, осуществление на системной основе мероприятий, указанных в настоящем разделе, позволит устранить коррупционные риски в конкретных управленческих процессах реализации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-опасных функций либо минимизировать их.</w:t>
      </w:r>
      <w:bookmarkStart w:id="91" w:name="l44"/>
      <w:bookmarkEnd w:id="91"/>
    </w:p>
    <w:p w:rsidR="00A00EF9" w:rsidRPr="00A00EF9" w:rsidRDefault="00A00EF9" w:rsidP="005D2C3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bookmarkStart w:id="92" w:name="h151"/>
      <w:bookmarkEnd w:id="92"/>
      <w:r w:rsidRPr="00A00EF9">
        <w:rPr>
          <w:rFonts w:ascii="Times New Roman" w:eastAsia="Times New Roman" w:hAnsi="Times New Roman" w:cs="Times New Roman"/>
          <w:b/>
          <w:bCs/>
          <w:sz w:val="27"/>
          <w:szCs w:val="27"/>
          <w:lang w:eastAsia="ru-RU"/>
        </w:rPr>
        <w:t>V. Мониторинг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21. Основными задачами мониторинга исполнения должностных обязанностей федеральными государственными служащими и работниками государственных корпораций (государственной компании), деятельность которых связана с коррупционными рисками (далее - мониторинг), являются:</w:t>
      </w:r>
      <w:bookmarkStart w:id="93" w:name="l109"/>
      <w:bookmarkStart w:id="94" w:name="l45"/>
      <w:bookmarkEnd w:id="93"/>
      <w:bookmarkEnd w:id="94"/>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своевременная фиксация отклонения действий должностных лиц от установленных норм, правил служебного поведения;</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выявление и анализ факторов, способствующих ненадлежащему исполнению либо превышению должностных полномочий;</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подготовка предложений по минимизации коррупционных рисков либо их устранению в деятельности должностных лиц;</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корректировка перечня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-опасных функций и перечня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w:t>
      </w:r>
      <w:bookmarkStart w:id="95" w:name="l110"/>
      <w:bookmarkStart w:id="96" w:name="l46"/>
      <w:bookmarkEnd w:id="95"/>
      <w:bookmarkEnd w:id="96"/>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lastRenderedPageBreak/>
        <w:t>22. Проведение мониторинга осуществляется путем сбора информации о признаках и фактах коррупционной деятельности должностных лиц.</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Сбор указанной информации может осуществляться в том числе путем проведения опросов на официальном сайте федеральных государственных органов и государственных корпораций (государственной компании) в сети Интернет, а также с использованием электронной почты, телефонной и факсимильной связи от лиц и организаций, имевших опыт взаимодействия с должностными лицами.</w:t>
      </w:r>
      <w:bookmarkStart w:id="97" w:name="l111"/>
      <w:bookmarkEnd w:id="97"/>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23. При проведении мониторинга:</w:t>
      </w:r>
      <w:bookmarkStart w:id="98" w:name="l47"/>
      <w:bookmarkEnd w:id="98"/>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формируется набор показателей, характеризующих антикоррупционное поведение должностных лиц, деятельность которых связана с коррупционными рисками;</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обеспечивается взаимодействие со структурными подразделениями федерального государственного органа, государственной корпорации (государственной компании), иными государственными органами и организациями в целях изучения документов, иных материалов, содержащих сведения, указанные в пункте 7 настоящих методических рекомендаций.</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24. Результатами проведения мониторинга являются:</w:t>
      </w:r>
      <w:bookmarkStart w:id="99" w:name="l48"/>
      <w:bookmarkEnd w:id="99"/>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подготовка материалов о несоблюдении должностными лицами при исполнении должностных обязанностей требований к служебному поведению и (или) требований об урегулировании конфликта интересов;</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подготовка предложений по минимизации коррупционных рисков либо их устранению в деятельности должностных лиц, а также по внесению изменений в перечень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-опасных функций и перечень должностей в федеральных государственных органах и государственных корпорациях (государственной компании), замещение которых связано с коррупционными рисками;</w:t>
      </w:r>
      <w:bookmarkStart w:id="100" w:name="l112"/>
      <w:bookmarkStart w:id="101" w:name="l49"/>
      <w:bookmarkEnd w:id="100"/>
      <w:bookmarkEnd w:id="101"/>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ежегодные доклады руководству федерального государственного органа, государственной корпорации (государственной компании) о результатах проведения мониторинга.</w:t>
      </w:r>
    </w:p>
    <w:p w:rsidR="00A00EF9" w:rsidRPr="00A00EF9" w:rsidRDefault="00A00EF9" w:rsidP="005D2C3D">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bookmarkStart w:id="102" w:name="h152"/>
      <w:bookmarkEnd w:id="102"/>
      <w:r w:rsidRPr="00A00EF9">
        <w:rPr>
          <w:rFonts w:ascii="Times New Roman" w:eastAsia="Times New Roman" w:hAnsi="Times New Roman" w:cs="Times New Roman"/>
          <w:b/>
          <w:bCs/>
          <w:sz w:val="27"/>
          <w:szCs w:val="27"/>
          <w:lang w:eastAsia="ru-RU"/>
        </w:rPr>
        <w:t>VI. Заключительные положения</w:t>
      </w:r>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25. Вопросы, связанные с проведением оценки коррупционных рисков, возникающих при реализации функций, корректировкой перечней должностей федеральной государственной службы и должностей в государственных корпорациях (государственной компании), замещение которых связано с коррупционными рисками, а также результаты мониторинга исполнения должностных обязанностей должностных лиц, деятельность которых связана с коррупционными рисками, представляется целесообразным рассматривать на заседаниях комиссий по соблюдению требований к служебному поведению и урегулированию конфликта интересов (аттестационных комиссий) не реже одного раза в год.</w:t>
      </w:r>
      <w:bookmarkStart w:id="103" w:name="l113"/>
      <w:bookmarkStart w:id="104" w:name="l50"/>
      <w:bookmarkEnd w:id="103"/>
      <w:bookmarkEnd w:id="104"/>
    </w:p>
    <w:p w:rsidR="00A00EF9" w:rsidRPr="00A00EF9" w:rsidRDefault="00A00EF9" w:rsidP="005D2C3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26. Реализация настоящих методических рекомендаций осуществляется подразделениями кадровых служб федеральных государственных органов по профилактике коррупционных и иных правонарушений (должностных лиц кадровых служб, ответственных за работу по профилактике коррупционных и иных правонарушений), подразделениями по профилактике коррупционных и иных правонарушений государственных корпораций (государственной компании) в рамках исполнения функций, возложенных на них Указом </w:t>
      </w:r>
      <w:r w:rsidRPr="00A00EF9">
        <w:rPr>
          <w:rFonts w:ascii="Times New Roman" w:eastAsia="Times New Roman" w:hAnsi="Times New Roman" w:cs="Times New Roman"/>
          <w:sz w:val="24"/>
          <w:szCs w:val="24"/>
          <w:lang w:eastAsia="ru-RU"/>
        </w:rPr>
        <w:lastRenderedPageBreak/>
        <w:t>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bookmarkStart w:id="105" w:name="l114"/>
      <w:bookmarkStart w:id="106" w:name="l51"/>
      <w:bookmarkStart w:id="107" w:name="l115"/>
      <w:bookmarkEnd w:id="105"/>
      <w:bookmarkEnd w:id="106"/>
      <w:bookmarkEnd w:id="107"/>
    </w:p>
    <w:p w:rsidR="00A00EF9" w:rsidRPr="00A00EF9" w:rsidRDefault="00A00EF9" w:rsidP="00A00EF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Информация</w:t>
      </w:r>
      <w:r w:rsidRPr="00A00EF9">
        <w:rPr>
          <w:rFonts w:ascii="Times New Roman" w:eastAsia="Times New Roman" w:hAnsi="Times New Roman" w:cs="Times New Roman"/>
          <w:sz w:val="24"/>
          <w:szCs w:val="24"/>
          <w:lang w:eastAsia="ru-RU"/>
        </w:rPr>
        <w:br/>
        <w:t>о проведении оценок коррупционных рисков, возникающих при реализации функций, и внесении уточнений в перечни должностей федеральной государственной службы, замещение которых связано с коррупционными рисками</w:t>
      </w:r>
      <w:r w:rsidRPr="00A00EF9">
        <w:rPr>
          <w:rFonts w:ascii="Times New Roman" w:eastAsia="Times New Roman" w:hAnsi="Times New Roman" w:cs="Times New Roman"/>
          <w:sz w:val="24"/>
          <w:szCs w:val="24"/>
          <w:lang w:eastAsia="ru-RU"/>
        </w:rPr>
        <w:br/>
        <w:t>___________________________________________________________________</w:t>
      </w:r>
      <w:r w:rsidRPr="00A00EF9">
        <w:rPr>
          <w:rFonts w:ascii="Times New Roman" w:eastAsia="Times New Roman" w:hAnsi="Times New Roman" w:cs="Times New Roman"/>
          <w:sz w:val="24"/>
          <w:szCs w:val="24"/>
          <w:lang w:eastAsia="ru-RU"/>
        </w:rPr>
        <w:br/>
        <w:t>(указать наименование федерального государственного органа)</w:t>
      </w:r>
    </w:p>
    <w:p w:rsidR="00A00EF9" w:rsidRPr="00A00EF9" w:rsidRDefault="00A00EF9" w:rsidP="00A00EF9">
      <w:pPr>
        <w:spacing w:before="100" w:beforeAutospacing="1" w:after="100" w:afterAutospacing="1"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1. Оценка коррупционных рисков, возникающих при реализации функций, осуществлялась:</w:t>
      </w:r>
    </w:p>
    <w:p w:rsidR="00A00EF9" w:rsidRPr="00A00EF9" w:rsidRDefault="00A00EF9" w:rsidP="00A00EF9">
      <w:pPr>
        <w:spacing w:before="100" w:beforeAutospacing="1" w:after="100" w:afterAutospacing="1"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с применением Методических рекомендаций (нужное подчеркнуть):</w:t>
      </w:r>
      <w:bookmarkStart w:id="108" w:name="l132"/>
      <w:bookmarkEnd w:id="108"/>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692"/>
        <w:gridCol w:w="4693"/>
      </w:tblGrid>
      <w:tr w:rsidR="00A00EF9" w:rsidRPr="00A00EF9" w:rsidTr="00A00EF9">
        <w:trPr>
          <w:tblCellSpacing w:w="0" w:type="dxa"/>
        </w:trPr>
        <w:tc>
          <w:tcPr>
            <w:tcW w:w="50" w:type="pct"/>
            <w:hideMark/>
          </w:tcPr>
          <w:p w:rsidR="00A00EF9" w:rsidRPr="00A00EF9" w:rsidRDefault="00A00EF9" w:rsidP="00A00EF9">
            <w:pPr>
              <w:spacing w:after="0" w:line="240" w:lineRule="auto"/>
              <w:jc w:val="center"/>
              <w:rPr>
                <w:rFonts w:ascii="Times New Roman" w:eastAsia="Times New Roman" w:hAnsi="Times New Roman" w:cs="Times New Roman"/>
                <w:sz w:val="24"/>
                <w:szCs w:val="24"/>
                <w:lang w:eastAsia="ru-RU"/>
              </w:rPr>
            </w:pPr>
            <w:bookmarkStart w:id="109" w:name="l133"/>
            <w:bookmarkEnd w:id="109"/>
            <w:r w:rsidRPr="00A00EF9">
              <w:rPr>
                <w:rFonts w:ascii="Times New Roman" w:eastAsia="Times New Roman" w:hAnsi="Times New Roman" w:cs="Times New Roman"/>
                <w:sz w:val="24"/>
                <w:szCs w:val="24"/>
                <w:lang w:eastAsia="ru-RU"/>
              </w:rPr>
              <w:t>Да</w:t>
            </w:r>
          </w:p>
        </w:tc>
        <w:tc>
          <w:tcPr>
            <w:tcW w:w="50" w:type="pct"/>
            <w:hideMark/>
          </w:tcPr>
          <w:p w:rsidR="00A00EF9" w:rsidRPr="00A00EF9" w:rsidRDefault="00A00EF9" w:rsidP="00A00EF9">
            <w:pPr>
              <w:spacing w:after="0" w:line="240" w:lineRule="auto"/>
              <w:jc w:val="center"/>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Нет</w:t>
            </w:r>
          </w:p>
        </w:tc>
      </w:tr>
    </w:tbl>
    <w:p w:rsidR="00A00EF9" w:rsidRPr="00A00EF9" w:rsidRDefault="00A00EF9" w:rsidP="00A00EF9">
      <w:pPr>
        <w:spacing w:before="100" w:beforeAutospacing="1" w:after="100" w:afterAutospacing="1"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или посредством (перечислить):</w:t>
      </w:r>
      <w:bookmarkStart w:id="110" w:name="l118"/>
      <w:bookmarkEnd w:id="110"/>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8"/>
        <w:gridCol w:w="8967"/>
      </w:tblGrid>
      <w:tr w:rsidR="00A00EF9" w:rsidRPr="00A00EF9" w:rsidTr="00A00EF9">
        <w:trPr>
          <w:tblCellSpacing w:w="0" w:type="dxa"/>
        </w:trPr>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bookmarkStart w:id="111" w:name="l134"/>
            <w:bookmarkEnd w:id="111"/>
            <w:r w:rsidRPr="00A00EF9">
              <w:rPr>
                <w:rFonts w:ascii="Times New Roman" w:eastAsia="Times New Roman" w:hAnsi="Times New Roman" w:cs="Times New Roman"/>
                <w:sz w:val="24"/>
                <w:szCs w:val="24"/>
                <w:lang w:eastAsia="ru-RU"/>
              </w:rPr>
              <w:t>1)</w:t>
            </w:r>
          </w:p>
        </w:tc>
        <w:tc>
          <w:tcPr>
            <w:tcW w:w="10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w:t>
            </w:r>
          </w:p>
        </w:tc>
      </w:tr>
      <w:tr w:rsidR="00A00EF9" w:rsidRPr="00A00EF9" w:rsidTr="00A00EF9">
        <w:trPr>
          <w:tblCellSpacing w:w="0" w:type="dxa"/>
        </w:trPr>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2)</w:t>
            </w:r>
          </w:p>
        </w:tc>
        <w:tc>
          <w:tcPr>
            <w:tcW w:w="10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w:t>
            </w:r>
          </w:p>
        </w:tc>
      </w:tr>
      <w:tr w:rsidR="00A00EF9" w:rsidRPr="00A00EF9" w:rsidTr="00A00EF9">
        <w:trPr>
          <w:tblCellSpacing w:w="0" w:type="dxa"/>
        </w:trPr>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3)</w:t>
            </w:r>
          </w:p>
        </w:tc>
        <w:tc>
          <w:tcPr>
            <w:tcW w:w="10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w:t>
            </w:r>
          </w:p>
        </w:tc>
      </w:tr>
      <w:tr w:rsidR="00A00EF9" w:rsidRPr="00A00EF9" w:rsidTr="00A00EF9">
        <w:trPr>
          <w:tblCellSpacing w:w="0" w:type="dxa"/>
        </w:trPr>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4)</w:t>
            </w:r>
          </w:p>
        </w:tc>
        <w:tc>
          <w:tcPr>
            <w:tcW w:w="10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w:t>
            </w:r>
          </w:p>
        </w:tc>
      </w:tr>
    </w:tbl>
    <w:p w:rsidR="00A00EF9" w:rsidRPr="00A00EF9" w:rsidRDefault="00A00EF9" w:rsidP="00A00EF9">
      <w:pPr>
        <w:spacing w:before="100" w:beforeAutospacing="1" w:after="100" w:afterAutospacing="1"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2. Применение Методических рекомендаций.</w:t>
      </w:r>
      <w:bookmarkStart w:id="112" w:name="l135"/>
      <w:bookmarkEnd w:id="112"/>
    </w:p>
    <w:p w:rsidR="00A00EF9" w:rsidRPr="00A00EF9" w:rsidRDefault="00A00EF9" w:rsidP="00A00EF9">
      <w:pPr>
        <w:spacing w:before="100" w:beforeAutospacing="1" w:after="100" w:afterAutospacing="1"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2.1. перечень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-опасных функций: (нужное отметить):</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276"/>
        <w:gridCol w:w="3139"/>
      </w:tblGrid>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bookmarkStart w:id="113" w:name="l119"/>
            <w:bookmarkEnd w:id="113"/>
            <w:r w:rsidRPr="00A00EF9">
              <w:rPr>
                <w:rFonts w:ascii="Times New Roman" w:eastAsia="Times New Roman" w:hAnsi="Times New Roman" w:cs="Times New Roman"/>
                <w:sz w:val="24"/>
                <w:szCs w:val="24"/>
                <w:lang w:eastAsia="ru-RU"/>
              </w:rPr>
              <w:t xml:space="preserve">сформирован и утвержден руководителем федерального государственного органа посредством оформления грифа "Утверждаю",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дата, номер и наименование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утвержден либо одобрен на заседании комиссии по соблюдению требований к служебному поведению и урегулированию конфликта интересов (аттестационной комиссии) и оформлен грифом "Одобрено на заседании комиссии по соблюдению требований к служебному поведению и урегулированию конфликта интересов (аттестационной комиссии)",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дата и номер протокола заседания комиссии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bookmarkStart w:id="114" w:name="l120"/>
            <w:bookmarkEnd w:id="114"/>
            <w:r w:rsidRPr="00A00EF9">
              <w:rPr>
                <w:rFonts w:ascii="Times New Roman" w:eastAsia="Times New Roman" w:hAnsi="Times New Roman" w:cs="Times New Roman"/>
                <w:sz w:val="24"/>
                <w:szCs w:val="24"/>
                <w:lang w:eastAsia="ru-RU"/>
              </w:rPr>
              <w:t xml:space="preserve">в) иное решение: </w:t>
            </w:r>
            <w:r w:rsidRPr="00A00EF9">
              <w:rPr>
                <w:rFonts w:ascii="Times New Roman" w:eastAsia="Times New Roman" w:hAnsi="Times New Roman" w:cs="Times New Roman"/>
                <w:sz w:val="24"/>
                <w:szCs w:val="24"/>
                <w:lang w:eastAsia="ru-RU"/>
              </w:rPr>
              <w:br/>
              <w:t xml:space="preserve">(указать какое)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bl>
    <w:p w:rsidR="00A00EF9" w:rsidRPr="00A00EF9" w:rsidRDefault="00A00EF9" w:rsidP="00A00EF9">
      <w:pPr>
        <w:spacing w:before="100" w:beforeAutospacing="1" w:after="100" w:afterAutospacing="1"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2.2. Перечень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-опасных функций размещен на официальном сайте федерального государственного органа</w:t>
      </w:r>
      <w:bookmarkStart w:id="115" w:name="l121"/>
      <w:bookmarkEnd w:id="115"/>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83"/>
        <w:gridCol w:w="5649"/>
        <w:gridCol w:w="1883"/>
      </w:tblGrid>
      <w:tr w:rsidR="00A00EF9" w:rsidRPr="00A00EF9" w:rsidTr="00A00EF9">
        <w:trPr>
          <w:tblCellSpacing w:w="0" w:type="dxa"/>
        </w:trPr>
        <w:tc>
          <w:tcPr>
            <w:tcW w:w="50" w:type="pct"/>
            <w:tcBorders>
              <w:top w:val="outset" w:sz="6" w:space="0" w:color="auto"/>
              <w:left w:val="outset" w:sz="6" w:space="0" w:color="auto"/>
              <w:bottom w:val="outset" w:sz="6" w:space="0" w:color="auto"/>
              <w:right w:val="outset" w:sz="6" w:space="0" w:color="auto"/>
            </w:tcBorders>
            <w:vAlign w:val="center"/>
            <w:hideMark/>
          </w:tcPr>
          <w:p w:rsidR="00A00EF9" w:rsidRPr="00A00EF9" w:rsidRDefault="00A00EF9" w:rsidP="00A00EF9">
            <w:pPr>
              <w:spacing w:after="0" w:line="240" w:lineRule="auto"/>
              <w:jc w:val="center"/>
              <w:rPr>
                <w:rFonts w:ascii="Times New Roman" w:eastAsia="Times New Roman" w:hAnsi="Times New Roman" w:cs="Times New Roman"/>
                <w:sz w:val="24"/>
                <w:szCs w:val="24"/>
                <w:lang w:eastAsia="ru-RU"/>
              </w:rPr>
            </w:pPr>
            <w:bookmarkStart w:id="116" w:name="l137"/>
            <w:bookmarkEnd w:id="116"/>
          </w:p>
        </w:tc>
        <w:tc>
          <w:tcPr>
            <w:tcW w:w="150" w:type="pct"/>
            <w:tcBorders>
              <w:top w:val="outset" w:sz="6" w:space="0" w:color="auto"/>
              <w:left w:val="outset" w:sz="6" w:space="0" w:color="auto"/>
              <w:bottom w:val="outset" w:sz="6" w:space="0" w:color="auto"/>
              <w:right w:val="outset" w:sz="6" w:space="0" w:color="auto"/>
            </w:tcBorders>
            <w:vAlign w:val="center"/>
            <w:hideMark/>
          </w:tcPr>
          <w:p w:rsidR="00A00EF9" w:rsidRPr="00A00EF9" w:rsidRDefault="00A00EF9" w:rsidP="00A00EF9">
            <w:pPr>
              <w:spacing w:after="0" w:line="240" w:lineRule="auto"/>
              <w:jc w:val="center"/>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(указать гиперссылку для перехода на документ, размещенный на официальном сайте)</w:t>
            </w:r>
          </w:p>
        </w:tc>
        <w:tc>
          <w:tcPr>
            <w:tcW w:w="50" w:type="pct"/>
            <w:tcBorders>
              <w:top w:val="outset" w:sz="6" w:space="0" w:color="auto"/>
              <w:left w:val="outset" w:sz="6" w:space="0" w:color="auto"/>
              <w:bottom w:val="outset" w:sz="6" w:space="0" w:color="auto"/>
              <w:right w:val="outset" w:sz="6" w:space="0" w:color="auto"/>
            </w:tcBorders>
            <w:vAlign w:val="center"/>
            <w:hideMark/>
          </w:tcPr>
          <w:p w:rsidR="00A00EF9" w:rsidRPr="00A00EF9" w:rsidRDefault="00A00EF9" w:rsidP="00A00EF9">
            <w:pPr>
              <w:spacing w:after="0" w:line="240" w:lineRule="auto"/>
              <w:jc w:val="center"/>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w:t>
            </w:r>
          </w:p>
        </w:tc>
      </w:tr>
    </w:tbl>
    <w:p w:rsidR="00A00EF9" w:rsidRPr="00A00EF9" w:rsidRDefault="00A00EF9" w:rsidP="00A00EF9">
      <w:pPr>
        <w:spacing w:before="100" w:beforeAutospacing="1" w:after="100" w:afterAutospacing="1"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lastRenderedPageBreak/>
        <w:t xml:space="preserve">2.3. Частота проведения оценки коррупционных рисков, возникающих при реализации </w:t>
      </w:r>
      <w:proofErr w:type="spellStart"/>
      <w:r w:rsidRPr="00A00EF9">
        <w:rPr>
          <w:rFonts w:ascii="Times New Roman" w:eastAsia="Times New Roman" w:hAnsi="Times New Roman" w:cs="Times New Roman"/>
          <w:sz w:val="24"/>
          <w:szCs w:val="24"/>
          <w:lang w:eastAsia="ru-RU"/>
        </w:rPr>
        <w:t>коррупционно</w:t>
      </w:r>
      <w:proofErr w:type="spellEnd"/>
      <w:r w:rsidRPr="00A00EF9">
        <w:rPr>
          <w:rFonts w:ascii="Times New Roman" w:eastAsia="Times New Roman" w:hAnsi="Times New Roman" w:cs="Times New Roman"/>
          <w:sz w:val="24"/>
          <w:szCs w:val="24"/>
          <w:lang w:eastAsia="ru-RU"/>
        </w:rPr>
        <w:t>-опасных функций: (нужное отметить)</w:t>
      </w:r>
      <w:bookmarkStart w:id="117" w:name="l138"/>
      <w:bookmarkEnd w:id="117"/>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276"/>
        <w:gridCol w:w="3139"/>
      </w:tblGrid>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bookmarkStart w:id="118" w:name="l122"/>
            <w:bookmarkEnd w:id="118"/>
            <w:r w:rsidRPr="00A00EF9">
              <w:rPr>
                <w:rFonts w:ascii="Times New Roman" w:eastAsia="Times New Roman" w:hAnsi="Times New Roman" w:cs="Times New Roman"/>
                <w:sz w:val="24"/>
                <w:szCs w:val="24"/>
                <w:lang w:eastAsia="ru-RU"/>
              </w:rPr>
              <w:t xml:space="preserve">а) ежеквартально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б) раз в полугодие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в) иной период (указать какой)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bl>
    <w:p w:rsidR="00A00EF9" w:rsidRPr="00A00EF9" w:rsidRDefault="00A00EF9" w:rsidP="00A00EF9">
      <w:pPr>
        <w:spacing w:before="100" w:beforeAutospacing="1" w:after="100" w:afterAutospacing="1"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2.4. Указать, каким подразделением федерального государственного органа проводится оценка коррупционных рисков</w:t>
      </w:r>
      <w:bookmarkStart w:id="119" w:name="l123"/>
      <w:bookmarkEnd w:id="119"/>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15"/>
      </w:tblGrid>
      <w:tr w:rsidR="00A00EF9" w:rsidRPr="00A00EF9" w:rsidTr="00A00E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00EF9" w:rsidRPr="00A00EF9" w:rsidRDefault="00A00EF9" w:rsidP="00A00EF9">
            <w:pPr>
              <w:spacing w:after="0" w:line="240" w:lineRule="auto"/>
              <w:jc w:val="center"/>
              <w:rPr>
                <w:rFonts w:ascii="Times New Roman" w:eastAsia="Times New Roman" w:hAnsi="Times New Roman" w:cs="Times New Roman"/>
                <w:sz w:val="24"/>
                <w:szCs w:val="24"/>
                <w:lang w:eastAsia="ru-RU"/>
              </w:rPr>
            </w:pPr>
            <w:bookmarkStart w:id="120" w:name="l139"/>
            <w:bookmarkEnd w:id="120"/>
          </w:p>
        </w:tc>
      </w:tr>
      <w:tr w:rsidR="00A00EF9" w:rsidRPr="00A00EF9" w:rsidTr="00A00E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00EF9" w:rsidRPr="00A00EF9" w:rsidRDefault="00A00EF9" w:rsidP="00A00EF9">
            <w:pPr>
              <w:spacing w:after="0" w:line="240" w:lineRule="auto"/>
              <w:jc w:val="center"/>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w:t>
            </w:r>
          </w:p>
        </w:tc>
      </w:tr>
    </w:tbl>
    <w:p w:rsidR="00A00EF9" w:rsidRPr="00A00EF9" w:rsidRDefault="00A00EF9" w:rsidP="00A00EF9">
      <w:pPr>
        <w:spacing w:before="100" w:beforeAutospacing="1" w:after="100" w:afterAutospacing="1"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2.5. Указать, как оформляются и кому докладываются результаты проведения оценок коррупционных рисков (заполняется, если выполнялось)</w:t>
      </w:r>
      <w:bookmarkStart w:id="121" w:name="l140"/>
      <w:bookmarkEnd w:id="121"/>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15"/>
      </w:tblGrid>
      <w:tr w:rsidR="00A00EF9" w:rsidRPr="00A00EF9" w:rsidTr="00A00E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00EF9" w:rsidRPr="00A00EF9" w:rsidRDefault="00A00EF9" w:rsidP="00A00EF9">
            <w:pPr>
              <w:spacing w:after="0" w:line="240" w:lineRule="auto"/>
              <w:jc w:val="center"/>
              <w:rPr>
                <w:rFonts w:ascii="Times New Roman" w:eastAsia="Times New Roman" w:hAnsi="Times New Roman" w:cs="Times New Roman"/>
                <w:sz w:val="24"/>
                <w:szCs w:val="24"/>
                <w:lang w:eastAsia="ru-RU"/>
              </w:rPr>
            </w:pPr>
            <w:bookmarkStart w:id="122" w:name="l141"/>
            <w:bookmarkEnd w:id="122"/>
          </w:p>
        </w:tc>
      </w:tr>
      <w:tr w:rsidR="00A00EF9" w:rsidRPr="00A00EF9" w:rsidTr="00A00EF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00EF9" w:rsidRPr="00A00EF9" w:rsidRDefault="00A00EF9" w:rsidP="00A00EF9">
            <w:pPr>
              <w:spacing w:after="0" w:line="240" w:lineRule="auto"/>
              <w:jc w:val="center"/>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w:t>
            </w:r>
          </w:p>
        </w:tc>
      </w:tr>
    </w:tbl>
    <w:p w:rsidR="00A00EF9" w:rsidRPr="00A00EF9" w:rsidRDefault="00A00EF9" w:rsidP="00A00EF9">
      <w:pPr>
        <w:spacing w:before="100" w:beforeAutospacing="1" w:after="100" w:afterAutospacing="1"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2.6. Внесение уточнений в перечни должностей в федеральных государственных органах, замещение которых связано с коррупционными рисками (заполняется, если осуществлялось):</w:t>
      </w:r>
      <w:bookmarkStart w:id="123" w:name="l142"/>
      <w:bookmarkEnd w:id="123"/>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276"/>
        <w:gridCol w:w="3139"/>
      </w:tblGrid>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bookmarkStart w:id="124" w:name="l125"/>
            <w:bookmarkEnd w:id="124"/>
            <w:r w:rsidRPr="00A00EF9">
              <w:rPr>
                <w:rFonts w:ascii="Times New Roman" w:eastAsia="Times New Roman" w:hAnsi="Times New Roman" w:cs="Times New Roman"/>
                <w:sz w:val="24"/>
                <w:szCs w:val="24"/>
                <w:lang w:eastAsia="ru-RU"/>
              </w:rPr>
              <w:t xml:space="preserve">дата, номер и название документа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в чем заключалось уточнение перечня должностей (кратко)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bl>
    <w:p w:rsidR="00A00EF9" w:rsidRPr="00A00EF9" w:rsidRDefault="00A00EF9" w:rsidP="00A00EF9">
      <w:pPr>
        <w:spacing w:before="100" w:beforeAutospacing="1" w:after="100" w:afterAutospacing="1"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2.7. Проведение мониторинга исполнения должностных обязанностей федеральными государственными служащими, деятельность которых связана с коррупционными рисками (заполняется, если проводился):</w:t>
      </w:r>
      <w:bookmarkStart w:id="125" w:name="l126"/>
      <w:bookmarkEnd w:id="125"/>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276"/>
        <w:gridCol w:w="3139"/>
      </w:tblGrid>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bookmarkStart w:id="126" w:name="l127"/>
            <w:bookmarkEnd w:id="126"/>
            <w:r w:rsidRPr="00A00EF9">
              <w:rPr>
                <w:rFonts w:ascii="Times New Roman" w:eastAsia="Times New Roman" w:hAnsi="Times New Roman" w:cs="Times New Roman"/>
                <w:sz w:val="24"/>
                <w:szCs w:val="24"/>
                <w:lang w:eastAsia="ru-RU"/>
              </w:rPr>
              <w:t xml:space="preserve">каким подразделением проводится мониторинг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перечислить набор показателей, по которым проводится мониторинг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r w:rsidR="00A00EF9" w:rsidRPr="00A00EF9" w:rsidTr="00A00EF9">
        <w:trPr>
          <w:tblCellSpacing w:w="0" w:type="dxa"/>
        </w:trPr>
        <w:tc>
          <w:tcPr>
            <w:tcW w:w="10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указать, каким образом оформляются результаты мониторинга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bl>
    <w:p w:rsidR="00A00EF9" w:rsidRPr="00A00EF9" w:rsidRDefault="00A00EF9" w:rsidP="00A00EF9">
      <w:pPr>
        <w:spacing w:before="100" w:beforeAutospacing="1" w:after="100" w:afterAutospacing="1"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2.8. Минимизация коррупционных рисков либо их устранение в деятельности федеральных государственных служащих (заполняется, если осуществлялась):</w:t>
      </w:r>
      <w:bookmarkStart w:id="127" w:name="l128"/>
      <w:bookmarkEnd w:id="127"/>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707"/>
        <w:gridCol w:w="4708"/>
      </w:tblGrid>
      <w:tr w:rsidR="00A00EF9" w:rsidRPr="00A00EF9" w:rsidTr="00A00EF9">
        <w:trPr>
          <w:tblCellSpacing w:w="0" w:type="dxa"/>
        </w:trPr>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bookmarkStart w:id="128" w:name="l129"/>
            <w:bookmarkEnd w:id="128"/>
            <w:r w:rsidRPr="00A00EF9">
              <w:rPr>
                <w:rFonts w:ascii="Times New Roman" w:eastAsia="Times New Roman" w:hAnsi="Times New Roman" w:cs="Times New Roman"/>
                <w:sz w:val="24"/>
                <w:szCs w:val="24"/>
                <w:lang w:eastAsia="ru-RU"/>
              </w:rPr>
              <w:t xml:space="preserve">перечислить меры, принятые для минимизации рисков </w:t>
            </w:r>
            <w:r w:rsidRPr="00A00EF9">
              <w:rPr>
                <w:rFonts w:ascii="Times New Roman" w:eastAsia="Times New Roman" w:hAnsi="Times New Roman" w:cs="Times New Roman"/>
                <w:sz w:val="24"/>
                <w:szCs w:val="24"/>
                <w:lang w:eastAsia="ru-RU"/>
              </w:rPr>
              <w:br/>
              <w:t xml:space="preserve">(например: перераспределены функции между структурными подразделениями внутри органа, исключена необходимость личного взаимодействия (общения) должностных лиц с гражданами и организациями, оптимизирован перечень документов (материалов, информации), которые граждане (организации) обязаны предоставить для реализации права, внесены изменения в административные регламенты </w:t>
            </w:r>
            <w:r w:rsidRPr="00A00EF9">
              <w:rPr>
                <w:rFonts w:ascii="Times New Roman" w:eastAsia="Times New Roman" w:hAnsi="Times New Roman" w:cs="Times New Roman"/>
                <w:sz w:val="24"/>
                <w:szCs w:val="24"/>
                <w:lang w:eastAsia="ru-RU"/>
              </w:rPr>
              <w:lastRenderedPageBreak/>
              <w:t xml:space="preserve">предоставления государственных услуг, исполнения государственных функций).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r w:rsidR="00A00EF9" w:rsidRPr="00A00EF9" w:rsidTr="00A00EF9">
        <w:trPr>
          <w:tblCellSpacing w:w="0" w:type="dxa"/>
        </w:trPr>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bookmarkStart w:id="129" w:name="l130"/>
            <w:bookmarkEnd w:id="129"/>
            <w:r w:rsidRPr="00A00EF9">
              <w:rPr>
                <w:rFonts w:ascii="Times New Roman" w:eastAsia="Times New Roman" w:hAnsi="Times New Roman" w:cs="Times New Roman"/>
                <w:sz w:val="24"/>
                <w:szCs w:val="24"/>
                <w:lang w:eastAsia="ru-RU"/>
              </w:rPr>
              <w:lastRenderedPageBreak/>
              <w:t xml:space="preserve">перечислить коррупционные риски, которые были минимизированы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r w:rsidR="00A00EF9" w:rsidRPr="00A00EF9" w:rsidTr="00A00EF9">
        <w:trPr>
          <w:tblCellSpacing w:w="0" w:type="dxa"/>
        </w:trPr>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 xml:space="preserve">указать, каким образом оформляются результаты минимизации рисков </w:t>
            </w:r>
          </w:p>
        </w:tc>
        <w:tc>
          <w:tcPr>
            <w:tcW w:w="50" w:type="pct"/>
            <w:tcBorders>
              <w:top w:val="outset" w:sz="6" w:space="0" w:color="auto"/>
              <w:left w:val="outset" w:sz="6" w:space="0" w:color="auto"/>
              <w:bottom w:val="outset" w:sz="6" w:space="0" w:color="auto"/>
              <w:right w:val="outset" w:sz="6" w:space="0" w:color="auto"/>
            </w:tcBorders>
            <w:hideMark/>
          </w:tcPr>
          <w:p w:rsidR="00A00EF9" w:rsidRPr="00A00EF9" w:rsidRDefault="00A00EF9" w:rsidP="00A00EF9">
            <w:pPr>
              <w:spacing w:after="0" w:line="240" w:lineRule="auto"/>
              <w:rPr>
                <w:rFonts w:ascii="Times New Roman" w:eastAsia="Times New Roman" w:hAnsi="Times New Roman" w:cs="Times New Roman"/>
                <w:sz w:val="24"/>
                <w:szCs w:val="24"/>
                <w:lang w:eastAsia="ru-RU"/>
              </w:rPr>
            </w:pPr>
          </w:p>
        </w:tc>
      </w:tr>
    </w:tbl>
    <w:p w:rsidR="00A00EF9" w:rsidRPr="00A00EF9" w:rsidRDefault="00A00EF9" w:rsidP="00A00EF9">
      <w:pPr>
        <w:spacing w:before="100" w:beforeAutospacing="1" w:after="100" w:afterAutospacing="1"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Должность, фамилия и инициалы лица,</w:t>
      </w:r>
      <w:bookmarkStart w:id="130" w:name="l131"/>
      <w:bookmarkEnd w:id="130"/>
    </w:p>
    <w:p w:rsidR="00A00EF9" w:rsidRPr="00A00EF9" w:rsidRDefault="00A00EF9" w:rsidP="00A00EF9">
      <w:pPr>
        <w:spacing w:before="100" w:beforeAutospacing="1" w:after="100" w:afterAutospacing="1"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заполнившего форму, контактный телефон</w:t>
      </w:r>
    </w:p>
    <w:p w:rsidR="00A00EF9" w:rsidRPr="00A00EF9" w:rsidRDefault="00A00EF9" w:rsidP="00A00EF9">
      <w:pPr>
        <w:spacing w:before="100" w:beforeAutospacing="1" w:after="100" w:afterAutospacing="1" w:line="240" w:lineRule="auto"/>
        <w:rPr>
          <w:rFonts w:ascii="Times New Roman" w:eastAsia="Times New Roman" w:hAnsi="Times New Roman" w:cs="Times New Roman"/>
          <w:sz w:val="24"/>
          <w:szCs w:val="24"/>
          <w:lang w:eastAsia="ru-RU"/>
        </w:rPr>
      </w:pPr>
      <w:r w:rsidRPr="00A00EF9">
        <w:rPr>
          <w:rFonts w:ascii="Times New Roman" w:eastAsia="Times New Roman" w:hAnsi="Times New Roman" w:cs="Times New Roman"/>
          <w:sz w:val="24"/>
          <w:szCs w:val="24"/>
          <w:lang w:eastAsia="ru-RU"/>
        </w:rPr>
        <w:t>подпись</w:t>
      </w:r>
    </w:p>
    <w:p w:rsidR="004D3DB7" w:rsidRDefault="00F150E5"/>
    <w:sectPr w:rsidR="004D3DB7" w:rsidSect="005D2C3D">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EF9"/>
    <w:rsid w:val="000B4476"/>
    <w:rsid w:val="005D2C3D"/>
    <w:rsid w:val="007444A5"/>
    <w:rsid w:val="00822188"/>
    <w:rsid w:val="00860A00"/>
    <w:rsid w:val="00A00EF9"/>
    <w:rsid w:val="00EE2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00EF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00E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00EF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00EF9"/>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00EF9"/>
    <w:rPr>
      <w:color w:val="0000FF"/>
      <w:u w:val="single"/>
    </w:rPr>
  </w:style>
  <w:style w:type="character" w:customStyle="1" w:styleId="highlight">
    <w:name w:val="highlight"/>
    <w:basedOn w:val="a0"/>
    <w:rsid w:val="00A00EF9"/>
  </w:style>
  <w:style w:type="character" w:customStyle="1" w:styleId="related-chapter-link-text">
    <w:name w:val="related-chapter-link-text"/>
    <w:basedOn w:val="a0"/>
    <w:rsid w:val="00A00EF9"/>
  </w:style>
  <w:style w:type="paragraph" w:customStyle="1" w:styleId="dt-p">
    <w:name w:val="dt-p"/>
    <w:basedOn w:val="a"/>
    <w:rsid w:val="00A00E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A00E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A00E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00EF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00E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00EF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00EF9"/>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00EF9"/>
    <w:rPr>
      <w:color w:val="0000FF"/>
      <w:u w:val="single"/>
    </w:rPr>
  </w:style>
  <w:style w:type="character" w:customStyle="1" w:styleId="highlight">
    <w:name w:val="highlight"/>
    <w:basedOn w:val="a0"/>
    <w:rsid w:val="00A00EF9"/>
  </w:style>
  <w:style w:type="character" w:customStyle="1" w:styleId="related-chapter-link-text">
    <w:name w:val="related-chapter-link-text"/>
    <w:basedOn w:val="a0"/>
    <w:rsid w:val="00A00EF9"/>
  </w:style>
  <w:style w:type="paragraph" w:customStyle="1" w:styleId="dt-p">
    <w:name w:val="dt-p"/>
    <w:basedOn w:val="a"/>
    <w:rsid w:val="00A00E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A00E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A00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646414">
      <w:bodyDiv w:val="1"/>
      <w:marLeft w:val="0"/>
      <w:marRight w:val="0"/>
      <w:marTop w:val="0"/>
      <w:marBottom w:val="0"/>
      <w:divBdr>
        <w:top w:val="none" w:sz="0" w:space="0" w:color="auto"/>
        <w:left w:val="none" w:sz="0" w:space="0" w:color="auto"/>
        <w:bottom w:val="none" w:sz="0" w:space="0" w:color="auto"/>
        <w:right w:val="none" w:sz="0" w:space="0" w:color="auto"/>
      </w:divBdr>
      <w:divsChild>
        <w:div w:id="521824732">
          <w:marLeft w:val="0"/>
          <w:marRight w:val="0"/>
          <w:marTop w:val="0"/>
          <w:marBottom w:val="0"/>
          <w:divBdr>
            <w:top w:val="none" w:sz="0" w:space="0" w:color="auto"/>
            <w:left w:val="none" w:sz="0" w:space="0" w:color="auto"/>
            <w:bottom w:val="none" w:sz="0" w:space="0" w:color="auto"/>
            <w:right w:val="none" w:sz="0" w:space="0" w:color="auto"/>
          </w:divBdr>
          <w:divsChild>
            <w:div w:id="1029648091">
              <w:marLeft w:val="0"/>
              <w:marRight w:val="0"/>
              <w:marTop w:val="0"/>
              <w:marBottom w:val="0"/>
              <w:divBdr>
                <w:top w:val="none" w:sz="0" w:space="0" w:color="auto"/>
                <w:left w:val="none" w:sz="0" w:space="0" w:color="auto"/>
                <w:bottom w:val="none" w:sz="0" w:space="0" w:color="auto"/>
                <w:right w:val="none" w:sz="0" w:space="0" w:color="auto"/>
              </w:divBdr>
              <w:divsChild>
                <w:div w:id="1614051068">
                  <w:marLeft w:val="0"/>
                  <w:marRight w:val="0"/>
                  <w:marTop w:val="0"/>
                  <w:marBottom w:val="0"/>
                  <w:divBdr>
                    <w:top w:val="none" w:sz="0" w:space="0" w:color="auto"/>
                    <w:left w:val="none" w:sz="0" w:space="0" w:color="auto"/>
                    <w:bottom w:val="none" w:sz="0" w:space="0" w:color="auto"/>
                    <w:right w:val="none" w:sz="0" w:space="0" w:color="auto"/>
                  </w:divBdr>
                  <w:divsChild>
                    <w:div w:id="424570627">
                      <w:marLeft w:val="0"/>
                      <w:marRight w:val="0"/>
                      <w:marTop w:val="0"/>
                      <w:marBottom w:val="0"/>
                      <w:divBdr>
                        <w:top w:val="none" w:sz="0" w:space="0" w:color="auto"/>
                        <w:left w:val="none" w:sz="0" w:space="0" w:color="auto"/>
                        <w:bottom w:val="none" w:sz="0" w:space="0" w:color="auto"/>
                        <w:right w:val="none" w:sz="0" w:space="0" w:color="auto"/>
                      </w:divBdr>
                      <w:divsChild>
                        <w:div w:id="1811172208">
                          <w:marLeft w:val="0"/>
                          <w:marRight w:val="0"/>
                          <w:marTop w:val="0"/>
                          <w:marBottom w:val="0"/>
                          <w:divBdr>
                            <w:top w:val="none" w:sz="0" w:space="0" w:color="auto"/>
                            <w:left w:val="none" w:sz="0" w:space="0" w:color="auto"/>
                            <w:bottom w:val="none" w:sz="0" w:space="0" w:color="auto"/>
                            <w:right w:val="none" w:sz="0" w:space="0" w:color="auto"/>
                          </w:divBdr>
                          <w:divsChild>
                            <w:div w:id="112595889">
                              <w:marLeft w:val="0"/>
                              <w:marRight w:val="0"/>
                              <w:marTop w:val="0"/>
                              <w:marBottom w:val="0"/>
                              <w:divBdr>
                                <w:top w:val="none" w:sz="0" w:space="0" w:color="auto"/>
                                <w:left w:val="none" w:sz="0" w:space="0" w:color="auto"/>
                                <w:bottom w:val="none" w:sz="0" w:space="0" w:color="auto"/>
                                <w:right w:val="none" w:sz="0" w:space="0" w:color="auto"/>
                              </w:divBdr>
                              <w:divsChild>
                                <w:div w:id="1733654193">
                                  <w:marLeft w:val="0"/>
                                  <w:marRight w:val="0"/>
                                  <w:marTop w:val="0"/>
                                  <w:marBottom w:val="0"/>
                                  <w:divBdr>
                                    <w:top w:val="none" w:sz="0" w:space="0" w:color="auto"/>
                                    <w:left w:val="none" w:sz="0" w:space="0" w:color="auto"/>
                                    <w:bottom w:val="none" w:sz="0" w:space="0" w:color="auto"/>
                                    <w:right w:val="none" w:sz="0" w:space="0" w:color="auto"/>
                                  </w:divBdr>
                                  <w:divsChild>
                                    <w:div w:id="1957372950">
                                      <w:marLeft w:val="0"/>
                                      <w:marRight w:val="0"/>
                                      <w:marTop w:val="0"/>
                                      <w:marBottom w:val="0"/>
                                      <w:divBdr>
                                        <w:top w:val="none" w:sz="0" w:space="0" w:color="auto"/>
                                        <w:left w:val="none" w:sz="0" w:space="0" w:color="auto"/>
                                        <w:bottom w:val="none" w:sz="0" w:space="0" w:color="auto"/>
                                        <w:right w:val="none" w:sz="0" w:space="0" w:color="auto"/>
                                      </w:divBdr>
                                      <w:divsChild>
                                        <w:div w:id="60913171">
                                          <w:marLeft w:val="0"/>
                                          <w:marRight w:val="0"/>
                                          <w:marTop w:val="0"/>
                                          <w:marBottom w:val="0"/>
                                          <w:divBdr>
                                            <w:top w:val="none" w:sz="0" w:space="0" w:color="auto"/>
                                            <w:left w:val="none" w:sz="0" w:space="0" w:color="auto"/>
                                            <w:bottom w:val="none" w:sz="0" w:space="0" w:color="auto"/>
                                            <w:right w:val="none" w:sz="0" w:space="0" w:color="auto"/>
                                          </w:divBdr>
                                          <w:divsChild>
                                            <w:div w:id="163271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613639">
                          <w:marLeft w:val="0"/>
                          <w:marRight w:val="0"/>
                          <w:marTop w:val="0"/>
                          <w:marBottom w:val="0"/>
                          <w:divBdr>
                            <w:top w:val="none" w:sz="0" w:space="0" w:color="auto"/>
                            <w:left w:val="none" w:sz="0" w:space="0" w:color="auto"/>
                            <w:bottom w:val="none" w:sz="0" w:space="0" w:color="auto"/>
                            <w:right w:val="none" w:sz="0" w:space="0" w:color="auto"/>
                          </w:divBdr>
                          <w:divsChild>
                            <w:div w:id="2035883085">
                              <w:marLeft w:val="0"/>
                              <w:marRight w:val="0"/>
                              <w:marTop w:val="0"/>
                              <w:marBottom w:val="0"/>
                              <w:divBdr>
                                <w:top w:val="none" w:sz="0" w:space="0" w:color="auto"/>
                                <w:left w:val="none" w:sz="0" w:space="0" w:color="auto"/>
                                <w:bottom w:val="none" w:sz="0" w:space="0" w:color="auto"/>
                                <w:right w:val="none" w:sz="0" w:space="0" w:color="auto"/>
                              </w:divBdr>
                              <w:divsChild>
                                <w:div w:id="46107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462169">
                          <w:marLeft w:val="0"/>
                          <w:marRight w:val="0"/>
                          <w:marTop w:val="0"/>
                          <w:marBottom w:val="0"/>
                          <w:divBdr>
                            <w:top w:val="none" w:sz="0" w:space="0" w:color="auto"/>
                            <w:left w:val="none" w:sz="0" w:space="0" w:color="auto"/>
                            <w:bottom w:val="none" w:sz="0" w:space="0" w:color="auto"/>
                            <w:right w:val="none" w:sz="0" w:space="0" w:color="auto"/>
                          </w:divBdr>
                          <w:divsChild>
                            <w:div w:id="1833570110">
                              <w:marLeft w:val="0"/>
                              <w:marRight w:val="0"/>
                              <w:marTop w:val="0"/>
                              <w:marBottom w:val="0"/>
                              <w:divBdr>
                                <w:top w:val="none" w:sz="0" w:space="0" w:color="auto"/>
                                <w:left w:val="none" w:sz="0" w:space="0" w:color="auto"/>
                                <w:bottom w:val="none" w:sz="0" w:space="0" w:color="auto"/>
                                <w:right w:val="none" w:sz="0" w:space="0" w:color="auto"/>
                              </w:divBdr>
                              <w:divsChild>
                                <w:div w:id="11324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05164">
          <w:marLeft w:val="0"/>
          <w:marRight w:val="0"/>
          <w:marTop w:val="0"/>
          <w:marBottom w:val="0"/>
          <w:divBdr>
            <w:top w:val="none" w:sz="0" w:space="0" w:color="auto"/>
            <w:left w:val="none" w:sz="0" w:space="0" w:color="auto"/>
            <w:bottom w:val="none" w:sz="0" w:space="0" w:color="auto"/>
            <w:right w:val="none" w:sz="0" w:space="0" w:color="auto"/>
          </w:divBdr>
          <w:divsChild>
            <w:div w:id="2029015756">
              <w:marLeft w:val="0"/>
              <w:marRight w:val="0"/>
              <w:marTop w:val="0"/>
              <w:marBottom w:val="0"/>
              <w:divBdr>
                <w:top w:val="none" w:sz="0" w:space="0" w:color="auto"/>
                <w:left w:val="none" w:sz="0" w:space="0" w:color="auto"/>
                <w:bottom w:val="none" w:sz="0" w:space="0" w:color="auto"/>
                <w:right w:val="none" w:sz="0" w:space="0" w:color="auto"/>
              </w:divBdr>
              <w:divsChild>
                <w:div w:id="114061523">
                  <w:marLeft w:val="0"/>
                  <w:marRight w:val="0"/>
                  <w:marTop w:val="0"/>
                  <w:marBottom w:val="0"/>
                  <w:divBdr>
                    <w:top w:val="none" w:sz="0" w:space="0" w:color="auto"/>
                    <w:left w:val="none" w:sz="0" w:space="0" w:color="auto"/>
                    <w:bottom w:val="none" w:sz="0" w:space="0" w:color="auto"/>
                    <w:right w:val="none" w:sz="0" w:space="0" w:color="auto"/>
                  </w:divBdr>
                  <w:divsChild>
                    <w:div w:id="1112362496">
                      <w:marLeft w:val="0"/>
                      <w:marRight w:val="0"/>
                      <w:marTop w:val="0"/>
                      <w:marBottom w:val="0"/>
                      <w:divBdr>
                        <w:top w:val="none" w:sz="0" w:space="0" w:color="auto"/>
                        <w:left w:val="none" w:sz="0" w:space="0" w:color="auto"/>
                        <w:bottom w:val="none" w:sz="0" w:space="0" w:color="auto"/>
                        <w:right w:val="none" w:sz="0" w:space="0" w:color="auto"/>
                      </w:divBdr>
                      <w:divsChild>
                        <w:div w:id="1740328417">
                          <w:marLeft w:val="0"/>
                          <w:marRight w:val="0"/>
                          <w:marTop w:val="0"/>
                          <w:marBottom w:val="0"/>
                          <w:divBdr>
                            <w:top w:val="none" w:sz="0" w:space="0" w:color="auto"/>
                            <w:left w:val="none" w:sz="0" w:space="0" w:color="auto"/>
                            <w:bottom w:val="none" w:sz="0" w:space="0" w:color="auto"/>
                            <w:right w:val="none" w:sz="0" w:space="0" w:color="auto"/>
                          </w:divBdr>
                          <w:divsChild>
                            <w:div w:id="123230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234432">
          <w:marLeft w:val="0"/>
          <w:marRight w:val="0"/>
          <w:marTop w:val="0"/>
          <w:marBottom w:val="0"/>
          <w:divBdr>
            <w:top w:val="none" w:sz="0" w:space="0" w:color="auto"/>
            <w:left w:val="none" w:sz="0" w:space="0" w:color="auto"/>
            <w:bottom w:val="none" w:sz="0" w:space="0" w:color="auto"/>
            <w:right w:val="none" w:sz="0" w:space="0" w:color="auto"/>
          </w:divBdr>
        </w:div>
        <w:div w:id="171992824">
          <w:marLeft w:val="0"/>
          <w:marRight w:val="0"/>
          <w:marTop w:val="0"/>
          <w:marBottom w:val="0"/>
          <w:divBdr>
            <w:top w:val="none" w:sz="0" w:space="0" w:color="auto"/>
            <w:left w:val="none" w:sz="0" w:space="0" w:color="auto"/>
            <w:bottom w:val="none" w:sz="0" w:space="0" w:color="auto"/>
            <w:right w:val="none" w:sz="0" w:space="0" w:color="auto"/>
          </w:divBdr>
        </w:div>
        <w:div w:id="1385906378">
          <w:marLeft w:val="0"/>
          <w:marRight w:val="0"/>
          <w:marTop w:val="0"/>
          <w:marBottom w:val="0"/>
          <w:divBdr>
            <w:top w:val="none" w:sz="0" w:space="0" w:color="auto"/>
            <w:left w:val="none" w:sz="0" w:space="0" w:color="auto"/>
            <w:bottom w:val="none" w:sz="0" w:space="0" w:color="auto"/>
            <w:right w:val="none" w:sz="0" w:space="0" w:color="auto"/>
          </w:divBdr>
        </w:div>
        <w:div w:id="1073699722">
          <w:marLeft w:val="0"/>
          <w:marRight w:val="0"/>
          <w:marTop w:val="0"/>
          <w:marBottom w:val="0"/>
          <w:divBdr>
            <w:top w:val="none" w:sz="0" w:space="0" w:color="auto"/>
            <w:left w:val="none" w:sz="0" w:space="0" w:color="auto"/>
            <w:bottom w:val="none" w:sz="0" w:space="0" w:color="auto"/>
            <w:right w:val="none" w:sz="0" w:space="0" w:color="auto"/>
          </w:divBdr>
        </w:div>
        <w:div w:id="138614762">
          <w:marLeft w:val="0"/>
          <w:marRight w:val="0"/>
          <w:marTop w:val="0"/>
          <w:marBottom w:val="0"/>
          <w:divBdr>
            <w:top w:val="none" w:sz="0" w:space="0" w:color="auto"/>
            <w:left w:val="none" w:sz="0" w:space="0" w:color="auto"/>
            <w:bottom w:val="none" w:sz="0" w:space="0" w:color="auto"/>
            <w:right w:val="none" w:sz="0" w:space="0" w:color="auto"/>
          </w:divBdr>
        </w:div>
        <w:div w:id="380522427">
          <w:marLeft w:val="0"/>
          <w:marRight w:val="0"/>
          <w:marTop w:val="0"/>
          <w:marBottom w:val="0"/>
          <w:divBdr>
            <w:top w:val="none" w:sz="0" w:space="0" w:color="auto"/>
            <w:left w:val="none" w:sz="0" w:space="0" w:color="auto"/>
            <w:bottom w:val="none" w:sz="0" w:space="0" w:color="auto"/>
            <w:right w:val="none" w:sz="0" w:space="0" w:color="auto"/>
          </w:divBdr>
        </w:div>
        <w:div w:id="1315329205">
          <w:marLeft w:val="0"/>
          <w:marRight w:val="0"/>
          <w:marTop w:val="0"/>
          <w:marBottom w:val="0"/>
          <w:divBdr>
            <w:top w:val="none" w:sz="0" w:space="0" w:color="auto"/>
            <w:left w:val="none" w:sz="0" w:space="0" w:color="auto"/>
            <w:bottom w:val="none" w:sz="0" w:space="0" w:color="auto"/>
            <w:right w:val="none" w:sz="0" w:space="0" w:color="auto"/>
          </w:divBdr>
        </w:div>
        <w:div w:id="1086613461">
          <w:marLeft w:val="0"/>
          <w:marRight w:val="0"/>
          <w:marTop w:val="0"/>
          <w:marBottom w:val="0"/>
          <w:divBdr>
            <w:top w:val="none" w:sz="0" w:space="0" w:color="auto"/>
            <w:left w:val="none" w:sz="0" w:space="0" w:color="auto"/>
            <w:bottom w:val="none" w:sz="0" w:space="0" w:color="auto"/>
            <w:right w:val="none" w:sz="0" w:space="0" w:color="auto"/>
          </w:divBdr>
        </w:div>
        <w:div w:id="93326177">
          <w:marLeft w:val="0"/>
          <w:marRight w:val="0"/>
          <w:marTop w:val="0"/>
          <w:marBottom w:val="0"/>
          <w:divBdr>
            <w:top w:val="none" w:sz="0" w:space="0" w:color="auto"/>
            <w:left w:val="none" w:sz="0" w:space="0" w:color="auto"/>
            <w:bottom w:val="none" w:sz="0" w:space="0" w:color="auto"/>
            <w:right w:val="none" w:sz="0" w:space="0" w:color="auto"/>
          </w:divBdr>
        </w:div>
        <w:div w:id="352657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198117" TargetMode="External"/><Relationship Id="rId13" Type="http://schemas.openxmlformats.org/officeDocument/2006/relationships/hyperlink" Target="https://normativ.kontur.ru/document?moduleId=1&amp;documentId=244090" TargetMode="External"/><Relationship Id="rId3" Type="http://schemas.openxmlformats.org/officeDocument/2006/relationships/settings" Target="settings.xml"/><Relationship Id="rId7" Type="http://schemas.openxmlformats.org/officeDocument/2006/relationships/hyperlink" Target="https://normativ.kontur.ru/document?moduleId=1&amp;documentId=211325" TargetMode="External"/><Relationship Id="rId12" Type="http://schemas.openxmlformats.org/officeDocument/2006/relationships/hyperlink" Target="https://normativ.kontur.ru/document?moduleId=1&amp;documentId=8655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osmintrud.ru/ministry/programms/gossluzhba/antikorr/2/13" TargetMode="External"/><Relationship Id="rId11" Type="http://schemas.openxmlformats.org/officeDocument/2006/relationships/hyperlink" Target="https://normativ.kontur.ru/document?moduleId=1&amp;documentId=2672" TargetMode="External"/><Relationship Id="rId5" Type="http://schemas.openxmlformats.org/officeDocument/2006/relationships/hyperlink" Target="mailto:KovalkovaEA@rosmintrud.ru" TargetMode="External"/><Relationship Id="rId15" Type="http://schemas.openxmlformats.org/officeDocument/2006/relationships/theme" Target="theme/theme1.xml"/><Relationship Id="rId10" Type="http://schemas.openxmlformats.org/officeDocument/2006/relationships/hyperlink" Target="https://normativ.kontur.ru/document?moduleId=1&amp;documentId=231760"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20734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5041</Words>
  <Characters>28735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Стрикалова</dc:creator>
  <cp:lastModifiedBy>Евгения Стрикалова</cp:lastModifiedBy>
  <cp:revision>2</cp:revision>
  <dcterms:created xsi:type="dcterms:W3CDTF">2018-08-13T11:19:00Z</dcterms:created>
  <dcterms:modified xsi:type="dcterms:W3CDTF">2018-08-13T11:19:00Z</dcterms:modified>
</cp:coreProperties>
</file>