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 о. д</w:t>
      </w:r>
      <w:r>
        <w:rPr>
          <w:rFonts w:ascii="Times New Roman" w:hAnsi="Times New Roman"/>
          <w:sz w:val="24"/>
        </w:rPr>
        <w:t>иректор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ГБУСОН РО «СРЦ Орловского рай</w:t>
      </w:r>
      <w:bookmarkStart w:id="1" w:name="_GoBack"/>
      <w:bookmarkEnd w:id="1"/>
      <w:r>
        <w:rPr>
          <w:rFonts w:ascii="Times New Roman" w:hAnsi="Times New Roman"/>
          <w:sz w:val="24"/>
        </w:rPr>
        <w:t>она»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_____________________О. Н. </w:t>
      </w:r>
      <w:r>
        <w:rPr>
          <w:rFonts w:ascii="Times New Roman" w:hAnsi="Times New Roman"/>
          <w:sz w:val="24"/>
        </w:rPr>
        <w:t>Чмелева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</w:rPr>
        <w:t>приказ №24о/д от 09.01.2025г.</w:t>
      </w:r>
    </w:p>
    <w:p w14:paraId="08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9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Плана </w:t>
      </w:r>
      <w:r>
        <w:rPr>
          <w:rFonts w:ascii="Times New Roman" w:hAnsi="Times New Roman"/>
          <w:b w:val="1"/>
          <w:sz w:val="28"/>
        </w:rPr>
        <w:t xml:space="preserve">работы комиссии по </w:t>
      </w:r>
      <w:r>
        <w:rPr>
          <w:rFonts w:ascii="Times New Roman" w:hAnsi="Times New Roman"/>
          <w:b w:val="1"/>
          <w:sz w:val="28"/>
        </w:rPr>
        <w:t xml:space="preserve">противодействия коррупции </w:t>
      </w:r>
    </w:p>
    <w:p w14:paraId="0A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ГБУСОН РО «СРЦ </w:t>
      </w:r>
      <w:r>
        <w:rPr>
          <w:rFonts w:ascii="Times New Roman" w:hAnsi="Times New Roman"/>
          <w:b w:val="1"/>
          <w:sz w:val="28"/>
        </w:rPr>
        <w:t>Орловского</w:t>
      </w:r>
      <w:r>
        <w:rPr>
          <w:rFonts w:ascii="Times New Roman" w:hAnsi="Times New Roman"/>
          <w:b w:val="1"/>
          <w:sz w:val="28"/>
        </w:rPr>
        <w:t xml:space="preserve"> района»</w:t>
      </w:r>
    </w:p>
    <w:p w14:paraId="0B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 </w:t>
      </w:r>
      <w:r>
        <w:rPr>
          <w:rFonts w:ascii="Times New Roman" w:hAnsi="Times New Roman"/>
          <w:b w:val="1"/>
          <w:sz w:val="28"/>
        </w:rPr>
        <w:t>2025 г.</w:t>
      </w:r>
    </w:p>
    <w:p w14:paraId="0C000000">
      <w:pPr>
        <w:tabs>
          <w:tab w:leader="none" w:pos="319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675"/>
        <w:gridCol w:w="3734"/>
        <w:gridCol w:w="2251"/>
        <w:gridCol w:w="1800"/>
      </w:tblGrid>
      <w:tr>
        <w:tc>
          <w:tcPr>
            <w:tcW w:type="dxa" w:w="675"/>
          </w:tcPr>
          <w:p w14:paraId="0D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п</w:t>
            </w:r>
            <w:r>
              <w:rPr>
                <w:rFonts w:ascii="Times New Roman" w:hAnsi="Times New Roman"/>
                <w:i w:val="0"/>
                <w:sz w:val="24"/>
              </w:rPr>
              <w:t>/</w:t>
            </w:r>
            <w:r>
              <w:rPr>
                <w:rFonts w:ascii="Times New Roman" w:hAnsi="Times New Roman"/>
                <w:i w:val="0"/>
                <w:sz w:val="24"/>
              </w:rPr>
              <w:t>п</w:t>
            </w:r>
          </w:p>
        </w:tc>
        <w:tc>
          <w:tcPr>
            <w:tcW w:type="dxa" w:w="3734"/>
          </w:tcPr>
          <w:p w14:paraId="0E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Наименование мероприятий</w:t>
            </w:r>
          </w:p>
        </w:tc>
        <w:tc>
          <w:tcPr>
            <w:tcW w:type="dxa" w:w="2251"/>
          </w:tcPr>
          <w:p w14:paraId="0F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Срок исполнения</w:t>
            </w:r>
          </w:p>
        </w:tc>
        <w:tc>
          <w:tcPr>
            <w:tcW w:type="dxa" w:w="1800"/>
          </w:tcPr>
          <w:p w14:paraId="10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Исполнители </w:t>
            </w:r>
          </w:p>
        </w:tc>
      </w:tr>
      <w:tr>
        <w:tc>
          <w:tcPr>
            <w:tcW w:type="dxa" w:w="675"/>
          </w:tcPr>
          <w:p w14:paraId="1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34"/>
          </w:tcPr>
          <w:p w14:paraId="12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Ознакомление работников учреждения с правовыми актами, регламентирующими вопросы противодействия коррупции.</w:t>
            </w:r>
          </w:p>
        </w:tc>
        <w:tc>
          <w:tcPr>
            <w:tcW w:type="dxa" w:w="2251"/>
          </w:tcPr>
          <w:p w14:paraId="13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1 раз в год</w:t>
            </w:r>
          </w:p>
        </w:tc>
        <w:tc>
          <w:tcPr>
            <w:tcW w:type="dxa" w:w="1800"/>
          </w:tcPr>
          <w:p w14:paraId="14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</w:tr>
      <w:tr>
        <w:tc>
          <w:tcPr>
            <w:tcW w:type="dxa" w:w="675"/>
          </w:tcPr>
          <w:p w14:paraId="15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734"/>
          </w:tcPr>
          <w:p w14:paraId="16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Осуществление контроля за организацией 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приема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 на работу 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бывших муниципальных и государственных гражданских служащих.</w:t>
            </w:r>
          </w:p>
        </w:tc>
        <w:tc>
          <w:tcPr>
            <w:tcW w:type="dxa" w:w="2251"/>
          </w:tcPr>
          <w:p w14:paraId="17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постоянно</w:t>
            </w:r>
          </w:p>
        </w:tc>
        <w:tc>
          <w:tcPr>
            <w:tcW w:type="dxa" w:w="1800"/>
          </w:tcPr>
          <w:p w14:paraId="18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И. о. директора</w:t>
            </w:r>
          </w:p>
          <w:p w14:paraId="19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</w:tr>
      <w:tr>
        <w:tc>
          <w:tcPr>
            <w:tcW w:type="dxa" w:w="675"/>
          </w:tcPr>
          <w:p w14:paraId="1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34"/>
          </w:tcPr>
          <w:p w14:paraId="1B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Осуществление индивидуального консультирования работников по вопросам</w:t>
            </w:r>
            <w:r>
              <w:rPr>
                <w:rStyle w:val="Style_3_ch"/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применения (соблюдения)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антикоррупционных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</w:t>
            </w:r>
          </w:p>
          <w:p w14:paraId="1C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color w:val="000000"/>
                <w:spacing w:val="3"/>
                <w:sz w:val="24"/>
                <w:highlight w:val="white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стандартов и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процедур.</w:t>
            </w:r>
          </w:p>
        </w:tc>
        <w:tc>
          <w:tcPr>
            <w:tcW w:type="dxa" w:w="2251"/>
            <w:vAlign w:val="top"/>
          </w:tcPr>
          <w:p w14:paraId="1D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п</w:t>
            </w: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о мере обращения</w:t>
            </w:r>
          </w:p>
        </w:tc>
        <w:tc>
          <w:tcPr>
            <w:tcW w:type="dxa" w:w="1800"/>
          </w:tcPr>
          <w:p w14:paraId="1E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</w:tr>
      <w:tr>
        <w:tc>
          <w:tcPr>
            <w:tcW w:type="dxa" w:w="675"/>
          </w:tcPr>
          <w:p w14:paraId="1F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734"/>
          </w:tcPr>
          <w:p w14:paraId="20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Взаимодействие с 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type="dxa" w:w="2251"/>
            <w:vAlign w:val="top"/>
          </w:tcPr>
          <w:p w14:paraId="21000000">
            <w:pPr>
              <w:pStyle w:val="Style_3"/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    постоянно</w:t>
            </w:r>
          </w:p>
        </w:tc>
        <w:tc>
          <w:tcPr>
            <w:tcW w:type="dxa" w:w="1800"/>
          </w:tcPr>
          <w:p w14:paraId="22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зам</w:t>
            </w:r>
            <w:r>
              <w:rPr>
                <w:rFonts w:ascii="Times New Roman" w:hAnsi="Times New Roman"/>
                <w:i w:val="0"/>
                <w:sz w:val="24"/>
              </w:rPr>
              <w:t>.д</w:t>
            </w:r>
            <w:r>
              <w:rPr>
                <w:rFonts w:ascii="Times New Roman" w:hAnsi="Times New Roman"/>
                <w:i w:val="0"/>
                <w:sz w:val="24"/>
              </w:rPr>
              <w:t>иректора,</w:t>
            </w:r>
          </w:p>
          <w:p w14:paraId="23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юрисконсульт.</w:t>
            </w:r>
          </w:p>
        </w:tc>
      </w:tr>
      <w:tr>
        <w:tc>
          <w:tcPr>
            <w:tcW w:type="dxa" w:w="675"/>
          </w:tcPr>
          <w:p w14:paraId="24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734"/>
          </w:tcPr>
          <w:p w14:paraId="25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«О мерах по предупреждению нарушений в сфере закупок для нужд ГБУСОН РО «СРЦ Орловского района»</w:t>
            </w:r>
          </w:p>
        </w:tc>
        <w:tc>
          <w:tcPr>
            <w:tcW w:type="dxa" w:w="2251"/>
            <w:vAlign w:val="top"/>
          </w:tcPr>
          <w:p w14:paraId="26000000">
            <w:pPr>
              <w:pStyle w:val="Style_3"/>
              <w:spacing w:after="0" w:before="0" w:line="240" w:lineRule="auto"/>
              <w:ind/>
              <w:jc w:val="center"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1 квартал</w:t>
            </w:r>
          </w:p>
        </w:tc>
        <w:tc>
          <w:tcPr>
            <w:tcW w:type="dxa" w:w="1800"/>
          </w:tcPr>
          <w:p w14:paraId="27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заместитель директора</w:t>
            </w:r>
          </w:p>
        </w:tc>
      </w:tr>
      <w:tr>
        <w:tc>
          <w:tcPr>
            <w:tcW w:type="dxa" w:w="675"/>
          </w:tcPr>
          <w:p w14:paraId="28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734"/>
          </w:tcPr>
          <w:p w14:paraId="29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 xml:space="preserve">Рассмотрение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на заседании комиссии по противодействию коррупции в ГБУСОН РО «СРЦ Орловского района» вопрос «Об утверждении перечня коррупционно – опасных функций ГБУСОН РО «СРЦ Орловского района» и рассмотрение перечня должностей сотрудников ГБУСОН РО «СРЦ Орловского района» связанных с выполнением коррупционно опасных функций.</w:t>
            </w:r>
          </w:p>
        </w:tc>
        <w:tc>
          <w:tcPr>
            <w:tcW w:type="dxa" w:w="2251"/>
            <w:vAlign w:val="top"/>
          </w:tcPr>
          <w:p w14:paraId="2A000000">
            <w:pPr>
              <w:pStyle w:val="Style_3"/>
              <w:spacing w:after="0" w:before="0" w:line="240" w:lineRule="auto"/>
              <w:ind/>
              <w:jc w:val="center"/>
              <w:rPr>
                <w:rStyle w:val="Style_2_ch"/>
                <w:rFonts w:ascii="Times New Roman" w:hAnsi="Times New Roman"/>
                <w:i w:val="0"/>
                <w:sz w:val="24"/>
              </w:rPr>
            </w:pPr>
            <w:r>
              <w:rPr>
                <w:rStyle w:val="Style_2_ch"/>
                <w:rFonts w:ascii="Times New Roman" w:hAnsi="Times New Roman"/>
                <w:i w:val="0"/>
                <w:sz w:val="24"/>
              </w:rPr>
              <w:t>1 квартал</w:t>
            </w:r>
          </w:p>
        </w:tc>
        <w:tc>
          <w:tcPr>
            <w:tcW w:type="dxa" w:w="1800"/>
          </w:tcPr>
          <w:p w14:paraId="2B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</w:tr>
      <w:tr>
        <w:tc>
          <w:tcPr>
            <w:tcW w:type="dxa" w:w="675"/>
          </w:tcPr>
          <w:p w14:paraId="2C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734"/>
          </w:tcPr>
          <w:p w14:paraId="2D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Осуществление контроля за целевым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,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эффективным использованием бюджетных средств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».</w:t>
            </w:r>
          </w:p>
        </w:tc>
        <w:tc>
          <w:tcPr>
            <w:tcW w:type="dxa" w:w="2251"/>
          </w:tcPr>
          <w:p w14:paraId="2E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2F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гл. бухгалтер.</w:t>
            </w:r>
          </w:p>
        </w:tc>
      </w:tr>
      <w:tr>
        <w:tc>
          <w:tcPr>
            <w:tcW w:type="dxa" w:w="675"/>
          </w:tcPr>
          <w:p w14:paraId="30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734"/>
          </w:tcPr>
          <w:p w14:paraId="31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Осуществление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контроля за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соблюдением требований, установленных ФЗ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type="dxa" w:w="2251"/>
            <w:vAlign w:val="top"/>
          </w:tcPr>
          <w:p w14:paraId="32000000">
            <w:pPr>
              <w:pStyle w:val="Style_5"/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      </w:t>
            </w:r>
          </w:p>
          <w:p w14:paraId="33000000">
            <w:pPr>
              <w:pStyle w:val="Style_5"/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</w:p>
          <w:p w14:paraId="34000000">
            <w:pPr>
              <w:pStyle w:val="Style_5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    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постоянно</w:t>
            </w:r>
          </w:p>
        </w:tc>
        <w:tc>
          <w:tcPr>
            <w:tcW w:type="dxa" w:w="1800"/>
          </w:tcPr>
          <w:p w14:paraId="35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зам. д</w:t>
            </w:r>
            <w:r>
              <w:rPr>
                <w:rFonts w:ascii="Times New Roman" w:hAnsi="Times New Roman"/>
                <w:i w:val="0"/>
                <w:sz w:val="24"/>
              </w:rPr>
              <w:t>иректор</w:t>
            </w:r>
            <w:r>
              <w:rPr>
                <w:rFonts w:ascii="Times New Roman" w:hAnsi="Times New Roman"/>
                <w:i w:val="0"/>
                <w:sz w:val="24"/>
              </w:rPr>
              <w:t>а</w:t>
            </w:r>
          </w:p>
          <w:p w14:paraId="36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гл. бухгалтер</w:t>
            </w:r>
          </w:p>
          <w:p w14:paraId="37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</w:tr>
      <w:tr>
        <w:tc>
          <w:tcPr>
            <w:tcW w:type="dxa" w:w="675"/>
          </w:tcPr>
          <w:p w14:paraId="38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734"/>
          </w:tcPr>
          <w:p w14:paraId="39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Рассмотреть на заседании комиссии по противодействию коррупции в ГБУСОН РО «СРЦ Орловского района» вопрос «Выполнение плана мероприятий по противодействию коррупции в учреждении за 2025г.» </w:t>
            </w:r>
          </w:p>
        </w:tc>
        <w:tc>
          <w:tcPr>
            <w:tcW w:type="dxa" w:w="2251"/>
          </w:tcPr>
          <w:p w14:paraId="3A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3B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Комиссия по противодействию коррупции.</w:t>
            </w:r>
          </w:p>
          <w:p w14:paraId="3C000000">
            <w:pPr>
              <w:tabs>
                <w:tab w:leader="none" w:pos="3195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type="dxa" w:w="675"/>
          </w:tcPr>
          <w:p w14:paraId="3D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734"/>
          </w:tcPr>
          <w:p w14:paraId="3E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Рассмотреть на заседании комиссии по противодействию коррупции в ГБУСОН РО «СРЦ Орловского района» вопрос «</w:t>
            </w:r>
            <w:r>
              <w:rPr>
                <w:rFonts w:ascii="Times New Roman" w:hAnsi="Times New Roman"/>
                <w:sz w:val="24"/>
              </w:rPr>
              <w:t xml:space="preserve">Утверждение Плана работы комиссии по противодействию коррупции в </w:t>
            </w:r>
            <w:r>
              <w:rPr>
                <w:rFonts w:ascii="Times New Roman" w:hAnsi="Times New Roman"/>
                <w:sz w:val="24"/>
                <w:highlight w:val="white"/>
              </w:rPr>
              <w:t>ГБУСОН РО «СРЦ Орловского района»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на 2026г.</w:t>
            </w:r>
          </w:p>
        </w:tc>
        <w:tc>
          <w:tcPr>
            <w:tcW w:type="dxa" w:w="2251"/>
          </w:tcPr>
          <w:p w14:paraId="3F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4 квартал</w:t>
            </w:r>
          </w:p>
        </w:tc>
        <w:tc>
          <w:tcPr>
            <w:tcW w:type="dxa" w:w="1800"/>
          </w:tcPr>
          <w:p w14:paraId="40000000">
            <w:pPr>
              <w:pStyle w:val="Style_3"/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Комиссия по противодействию коррупции.</w:t>
            </w:r>
          </w:p>
        </w:tc>
      </w:tr>
      <w:tr>
        <w:tc>
          <w:tcPr>
            <w:tcW w:type="dxa" w:w="675"/>
          </w:tcPr>
          <w:p w14:paraId="4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734"/>
          </w:tcPr>
          <w:p w14:paraId="42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Р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азместить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на сайте учреждения о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тчет по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реализации плана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мероприятий  по 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противодействи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ю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 xml:space="preserve"> коррупции за 2024г.</w:t>
            </w:r>
          </w:p>
        </w:tc>
        <w:tc>
          <w:tcPr>
            <w:tcW w:type="dxa" w:w="2251"/>
          </w:tcPr>
          <w:p w14:paraId="43000000">
            <w:pPr>
              <w:pStyle w:val="Style_5"/>
              <w:spacing w:after="0" w:before="0" w:line="240" w:lineRule="auto"/>
              <w:ind/>
              <w:jc w:val="center"/>
              <w:rPr>
                <w:rStyle w:val="Style_4_ch"/>
                <w:rFonts w:ascii="Times New Roman" w:hAnsi="Times New Roman"/>
                <w:i w:val="0"/>
                <w:sz w:val="24"/>
              </w:rPr>
            </w:pP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01.02.2025</w:t>
            </w:r>
            <w:r>
              <w:rPr>
                <w:rStyle w:val="Style_4_ch"/>
                <w:rFonts w:ascii="Times New Roman" w:hAnsi="Times New Roman"/>
                <w:i w:val="0"/>
                <w:sz w:val="24"/>
              </w:rPr>
              <w:t>г</w:t>
            </w:r>
          </w:p>
        </w:tc>
        <w:tc>
          <w:tcPr>
            <w:tcW w:type="dxa" w:w="1800"/>
          </w:tcPr>
          <w:p w14:paraId="44000000">
            <w:pPr>
              <w:tabs>
                <w:tab w:leader="none" w:pos="3195" w:val="left"/>
              </w:tabs>
              <w:spacing w:after="0" w:before="0" w:line="240" w:lineRule="auto"/>
              <w:ind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Юрисконсульт</w:t>
            </w:r>
          </w:p>
        </w:tc>
      </w:tr>
    </w:tbl>
    <w:p w14:paraId="45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</w:p>
    <w:p w14:paraId="46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7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8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9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комиссии                                                                    М. Ю. </w:t>
      </w:r>
      <w:r>
        <w:rPr>
          <w:rFonts w:ascii="Times New Roman" w:hAnsi="Times New Roman"/>
          <w:sz w:val="24"/>
        </w:rPr>
        <w:t>Чекалов</w:t>
      </w:r>
    </w:p>
    <w:p w14:paraId="4A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B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C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D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E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4F000000">
      <w:pPr>
        <w:spacing w:after="0"/>
        <w:ind/>
        <w:jc w:val="center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Основной текст + 12 pt;Интервал 0 pt"/>
    <w:basedOn w:val="Style_3"/>
    <w:link w:val="Style_4_ch"/>
    <w:rPr>
      <w:rFonts w:ascii="Times New Roman" w:hAnsi="Times New Roman"/>
      <w:b w:val="0"/>
      <w:i w:val="0"/>
      <w:smallCaps w:val="0"/>
      <w:strike w:val="0"/>
      <w:color w:val="000000"/>
      <w:spacing w:val="3"/>
      <w:sz w:val="24"/>
      <w:u w:val="none"/>
    </w:rPr>
  </w:style>
  <w:style w:styleId="Style_4_ch" w:type="character">
    <w:name w:val="Основной текст + 12 pt;Интервал 0 pt"/>
    <w:basedOn w:val="Style_3_ch"/>
    <w:link w:val="Style_4"/>
    <w:rPr>
      <w:rFonts w:ascii="Times New Roman" w:hAnsi="Times New Roman"/>
      <w:b w:val="0"/>
      <w:i w:val="0"/>
      <w:smallCaps w:val="0"/>
      <w:strike w:val="0"/>
      <w:color w:val="000000"/>
      <w:spacing w:val="3"/>
      <w:sz w:val="24"/>
      <w:u w:val="none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5" w:type="paragraph">
    <w:name w:val="Основной текст1"/>
    <w:basedOn w:val="Style_6"/>
    <w:link w:val="Style_5_ch"/>
    <w:pPr>
      <w:widowControl w:val="0"/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5_ch" w:type="character">
    <w:name w:val="Основной текст1"/>
    <w:basedOn w:val="Style_6_ch"/>
    <w:link w:val="Style_5"/>
    <w:rPr>
      <w:rFonts w:ascii="Times New Roman" w:hAnsi="Times New Roman"/>
      <w:color w:val="000000"/>
      <w:sz w:val="20"/>
    </w:rPr>
  </w:style>
  <w:style w:styleId="Style_3" w:type="paragraph">
    <w:name w:val="Основной текст2"/>
    <w:basedOn w:val="Style_6"/>
    <w:link w:val="Style_3_ch"/>
    <w:pPr>
      <w:widowControl w:val="0"/>
      <w:spacing w:after="0" w:line="0" w:lineRule="atLeast"/>
      <w:ind/>
    </w:pPr>
    <w:rPr>
      <w:rFonts w:ascii="Franklin Gothic Heavy" w:hAnsi="Franklin Gothic Heavy"/>
      <w:i w:val="1"/>
      <w:sz w:val="46"/>
    </w:rPr>
  </w:style>
  <w:style w:styleId="Style_3_ch" w:type="character">
    <w:name w:val="Основной текст2"/>
    <w:basedOn w:val="Style_6_ch"/>
    <w:link w:val="Style_3"/>
    <w:rPr>
      <w:rFonts w:ascii="Franklin Gothic Heavy" w:hAnsi="Franklin Gothic Heavy"/>
      <w:i w:val="1"/>
      <w:sz w:val="46"/>
    </w:rPr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6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Основной текст + Times New Roman;12 pt;Не курсив;Интервал 0 pt"/>
    <w:basedOn w:val="Style_22"/>
    <w:link w:val="Style_2_ch"/>
    <w:rPr>
      <w:rFonts w:ascii="Times New Roman" w:hAnsi="Times New Roman"/>
      <w:b w:val="0"/>
      <w:i w:val="1"/>
      <w:smallCaps w:val="0"/>
      <w:strike w:val="0"/>
      <w:color w:val="000000"/>
      <w:spacing w:val="3"/>
      <w:sz w:val="24"/>
      <w:u w:val="none"/>
    </w:rPr>
  </w:style>
  <w:style w:styleId="Style_2_ch" w:type="character">
    <w:name w:val="Основной текст + Times New Roman;12 pt;Не курсив;Интервал 0 pt"/>
    <w:basedOn w:val="Style_22_ch"/>
    <w:link w:val="Style_2"/>
    <w:rPr>
      <w:rFonts w:ascii="Times New Roman" w:hAnsi="Times New Roman"/>
      <w:b w:val="0"/>
      <w:i w:val="1"/>
      <w:smallCaps w:val="0"/>
      <w:strike w:val="0"/>
      <w:color w:val="000000"/>
      <w:spacing w:val="3"/>
      <w:sz w:val="24"/>
      <w:u w:val="none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2026-03-19T10:09:04Z</dcterms:modified>
</cp:coreProperties>
</file>